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F639F" w14:textId="3A9DF13C" w:rsidR="00BF182A" w:rsidRPr="00E670C6" w:rsidRDefault="00BF182A" w:rsidP="00E670C6">
      <w:pPr>
        <w:pStyle w:val="Heading2"/>
        <w:spacing w:before="0" w:after="120" w:line="278" w:lineRule="auto"/>
        <w:jc w:val="both"/>
        <w:rPr>
          <w:rFonts w:ascii="Helvetica" w:hAnsi="Helvetica"/>
          <w:b/>
          <w:bCs/>
          <w:color w:val="6D6E71" w:themeColor="accent3"/>
        </w:rPr>
      </w:pPr>
      <w:bookmarkStart w:id="0" w:name="_Toc219737936"/>
      <w:r w:rsidRPr="00BF182A">
        <w:rPr>
          <w:rFonts w:ascii="Helvetica" w:hAnsi="Helvetica"/>
          <w:b/>
          <w:bCs/>
          <w:color w:val="6D6E71" w:themeColor="accent3"/>
        </w:rPr>
        <w:t xml:space="preserve">Appendix E – </w:t>
      </w:r>
      <w:bookmarkEnd w:id="0"/>
      <w:r w:rsidRPr="00BF182A">
        <w:rPr>
          <w:rFonts w:ascii="Helvetica" w:hAnsi="Helvetica"/>
          <w:b/>
          <w:bCs/>
          <w:color w:val="6D6E71" w:themeColor="accent3"/>
        </w:rPr>
        <w:t>Nowcasting 2024/25 retrofit demand from the 2017/18 Welsh Housing Conditions Survey</w:t>
      </w:r>
    </w:p>
    <w:p w14:paraId="62099DB3" w14:textId="55B97DFA" w:rsidR="00E670C6" w:rsidRDefault="00AE0316" w:rsidP="00E670C6">
      <w:pPr>
        <w:spacing w:after="120" w:line="278" w:lineRule="auto"/>
        <w:jc w:val="both"/>
        <w:rPr>
          <w:rFonts w:ascii="Helvetica" w:hAnsi="Helvetica"/>
        </w:rPr>
      </w:pPr>
      <w:r>
        <w:rPr>
          <w:rFonts w:ascii="Helvetica" w:hAnsi="Helvetica"/>
        </w:rPr>
        <w:t>Th</w:t>
      </w:r>
      <w:r w:rsidR="00E670C6">
        <w:rPr>
          <w:rFonts w:ascii="Helvetica" w:hAnsi="Helvetica"/>
        </w:rPr>
        <w:t>is technical appendix outlines the specific</w:t>
      </w:r>
      <w:r>
        <w:rPr>
          <w:rFonts w:ascii="Helvetica" w:hAnsi="Helvetica"/>
        </w:rPr>
        <w:t xml:space="preserve"> methodology through which</w:t>
      </w:r>
      <w:r w:rsidR="00BF182A">
        <w:rPr>
          <w:rFonts w:ascii="Helvetica" w:hAnsi="Helvetica"/>
        </w:rPr>
        <w:t xml:space="preserve"> microdata from the Welsh Housing Conditions Survey</w:t>
      </w:r>
      <w:r w:rsidR="00E670C6">
        <w:rPr>
          <w:rFonts w:ascii="Helvetica" w:hAnsi="Helvetica"/>
        </w:rPr>
        <w:t xml:space="preserve"> (WHCS)</w:t>
      </w:r>
      <w:r w:rsidR="00BF182A">
        <w:rPr>
          <w:rFonts w:ascii="Helvetica" w:hAnsi="Helvetica"/>
        </w:rPr>
        <w:t xml:space="preserve"> are analysed to generate an estimate of the number of households requiring each specified retrofit measure. </w:t>
      </w:r>
      <w:r w:rsidR="00E670C6">
        <w:rPr>
          <w:rFonts w:ascii="Helvetica" w:hAnsi="Helvetica"/>
        </w:rPr>
        <w:t xml:space="preserve">This overview provides additional detail on top of the methodology outlined within the main report and is to be treated as supplementary to the wider report. </w:t>
      </w:r>
    </w:p>
    <w:p w14:paraId="7A311790" w14:textId="7E3DA501" w:rsidR="00AE0316" w:rsidRDefault="00BF182A" w:rsidP="00E670C6">
      <w:pPr>
        <w:spacing w:after="120" w:line="278" w:lineRule="auto"/>
        <w:jc w:val="both"/>
        <w:rPr>
          <w:rFonts w:ascii="Helvetica" w:hAnsi="Helvetica"/>
        </w:rPr>
      </w:pPr>
      <w:r>
        <w:rPr>
          <w:rFonts w:ascii="Helvetica" w:hAnsi="Helvetica"/>
        </w:rPr>
        <w:t xml:space="preserve">Analysis </w:t>
      </w:r>
      <w:r w:rsidR="00E670C6">
        <w:rPr>
          <w:rFonts w:ascii="Helvetica" w:hAnsi="Helvetica"/>
        </w:rPr>
        <w:t xml:space="preserve">of the WHCS </w:t>
      </w:r>
      <w:r>
        <w:rPr>
          <w:rFonts w:ascii="Helvetica" w:hAnsi="Helvetica"/>
        </w:rPr>
        <w:t xml:space="preserve">yields a total number of households that require </w:t>
      </w:r>
      <w:r w:rsidR="00AE0316">
        <w:rPr>
          <w:rFonts w:ascii="Helvetica" w:hAnsi="Helvetica"/>
        </w:rPr>
        <w:t>at least one retrofit measure</w:t>
      </w:r>
      <w:r>
        <w:rPr>
          <w:rFonts w:ascii="Helvetica" w:hAnsi="Helvetica"/>
        </w:rPr>
        <w:t>, as well the proportion of households that require each particular measure (note – since many households require more than one</w:t>
      </w:r>
      <w:r w:rsidR="00E670C6">
        <w:rPr>
          <w:rFonts w:ascii="Helvetica" w:hAnsi="Helvetica"/>
        </w:rPr>
        <w:t xml:space="preserve"> retrofit</w:t>
      </w:r>
      <w:r>
        <w:rPr>
          <w:rFonts w:ascii="Helvetica" w:hAnsi="Helvetica"/>
        </w:rPr>
        <w:t xml:space="preserve">, the sum of the proportions </w:t>
      </w:r>
      <w:r w:rsidR="00E670C6">
        <w:rPr>
          <w:rFonts w:ascii="Helvetica" w:hAnsi="Helvetica"/>
        </w:rPr>
        <w:t xml:space="preserve">across all retrofit measures </w:t>
      </w:r>
      <w:r>
        <w:rPr>
          <w:rFonts w:ascii="Helvetica" w:hAnsi="Helvetica"/>
        </w:rPr>
        <w:t>is greater than one</w:t>
      </w:r>
      <w:r w:rsidR="0087085A">
        <w:rPr>
          <w:rFonts w:ascii="Helvetica" w:hAnsi="Helvetica"/>
        </w:rPr>
        <w:t xml:space="preserve">). </w:t>
      </w:r>
      <w:r w:rsidR="00E670C6">
        <w:rPr>
          <w:rFonts w:ascii="Helvetica" w:hAnsi="Helvetica"/>
        </w:rPr>
        <w:t>A detailed list of retrofit measures assessed under this methodology is outlined within the wider report. A notable flag here is that</w:t>
      </w:r>
      <w:r w:rsidR="00AE0316">
        <w:rPr>
          <w:rFonts w:ascii="Helvetica" w:hAnsi="Helvetica"/>
        </w:rPr>
        <w:t xml:space="preserve"> t</w:t>
      </w:r>
      <w:r w:rsidR="0087085A">
        <w:rPr>
          <w:rFonts w:ascii="Helvetica" w:hAnsi="Helvetica"/>
        </w:rPr>
        <w:t>he share of households requiring roof insulation or low energy lighting installation could not be assessed through the microdata</w:t>
      </w:r>
      <w:r w:rsidR="00E670C6">
        <w:rPr>
          <w:rFonts w:ascii="Helvetica" w:hAnsi="Helvetica"/>
        </w:rPr>
        <w:t>. As such, t</w:t>
      </w:r>
      <w:r w:rsidR="0087085A">
        <w:rPr>
          <w:rFonts w:ascii="Helvetica" w:hAnsi="Helvetica"/>
        </w:rPr>
        <w:t xml:space="preserve">hese proportions </w:t>
      </w:r>
      <w:r w:rsidR="007250B7">
        <w:rPr>
          <w:rFonts w:ascii="Helvetica" w:hAnsi="Helvetica"/>
        </w:rPr>
        <w:t xml:space="preserve">had </w:t>
      </w:r>
      <w:r w:rsidR="0087085A">
        <w:rPr>
          <w:rFonts w:ascii="Helvetica" w:hAnsi="Helvetica"/>
        </w:rPr>
        <w:t xml:space="preserve">to be obtained directly from the </w:t>
      </w:r>
      <w:r w:rsidR="00E670C6">
        <w:rPr>
          <w:rFonts w:ascii="Helvetica" w:hAnsi="Helvetica"/>
        </w:rPr>
        <w:t xml:space="preserve">publicly available </w:t>
      </w:r>
      <w:r w:rsidR="0087085A">
        <w:rPr>
          <w:rFonts w:ascii="Helvetica" w:hAnsi="Helvetica"/>
        </w:rPr>
        <w:t>WHCS 2017/18 tables.</w:t>
      </w:r>
    </w:p>
    <w:p w14:paraId="39E5C4DB" w14:textId="2E9DD679" w:rsidR="004244F3" w:rsidRDefault="0087085A" w:rsidP="00E670C6">
      <w:pPr>
        <w:spacing w:after="120" w:line="278" w:lineRule="auto"/>
        <w:jc w:val="both"/>
        <w:rPr>
          <w:rFonts w:ascii="Helvetica" w:hAnsi="Helvetica"/>
        </w:rPr>
      </w:pPr>
      <w:r>
        <w:rPr>
          <w:rFonts w:ascii="Helvetica" w:hAnsi="Helvetica"/>
        </w:rPr>
        <w:t xml:space="preserve">The </w:t>
      </w:r>
      <w:hyperlink r:id="rId9" w:history="1">
        <w:r w:rsidRPr="004244F3">
          <w:rPr>
            <w:rStyle w:val="Hyperlink"/>
            <w:rFonts w:ascii="Helvetica" w:hAnsi="Helvetica"/>
          </w:rPr>
          <w:t>Second All Wales Low Carbon Delivery Plan</w:t>
        </w:r>
      </w:hyperlink>
      <w:r>
        <w:rPr>
          <w:rFonts w:ascii="Helvetica" w:hAnsi="Helvetica"/>
        </w:rPr>
        <w:t xml:space="preserve">, published in 2021, outlined an expectation that 148,000 houses would receive </w:t>
      </w:r>
      <w:r w:rsidR="004244F3">
        <w:rPr>
          <w:rFonts w:ascii="Helvetica" w:hAnsi="Helvetica"/>
        </w:rPr>
        <w:t xml:space="preserve">retrofit </w:t>
      </w:r>
      <w:r>
        <w:rPr>
          <w:rFonts w:ascii="Helvetica" w:hAnsi="Helvetica"/>
        </w:rPr>
        <w:t xml:space="preserve">measures by 2025. </w:t>
      </w:r>
      <w:r w:rsidR="004244F3">
        <w:rPr>
          <w:rFonts w:ascii="Helvetica" w:hAnsi="Helvetica"/>
        </w:rPr>
        <w:t xml:space="preserve">Given the lack of </w:t>
      </w:r>
      <w:r w:rsidR="003811ED">
        <w:rPr>
          <w:rFonts w:ascii="Helvetica" w:hAnsi="Helvetica"/>
        </w:rPr>
        <w:t>explicit</w:t>
      </w:r>
      <w:r w:rsidR="004244F3">
        <w:rPr>
          <w:rFonts w:ascii="Helvetica" w:hAnsi="Helvetica"/>
        </w:rPr>
        <w:t xml:space="preserve"> data </w:t>
      </w:r>
      <w:r w:rsidR="003811ED">
        <w:rPr>
          <w:rFonts w:ascii="Helvetica" w:hAnsi="Helvetica"/>
        </w:rPr>
        <w:t>on the number of homes that have received retrofit measures since 2017/18</w:t>
      </w:r>
      <w:r w:rsidR="004244F3">
        <w:rPr>
          <w:rFonts w:ascii="Helvetica" w:hAnsi="Helvetica"/>
        </w:rPr>
        <w:t xml:space="preserve">, this number was used as </w:t>
      </w:r>
      <w:r w:rsidR="003811ED">
        <w:rPr>
          <w:rFonts w:ascii="Helvetica" w:hAnsi="Helvetica"/>
        </w:rPr>
        <w:t xml:space="preserve">a conservative </w:t>
      </w:r>
      <w:r w:rsidR="004244F3">
        <w:rPr>
          <w:rFonts w:ascii="Helvetica" w:hAnsi="Helvetica"/>
        </w:rPr>
        <w:t>base</w:t>
      </w:r>
      <w:r w:rsidR="003811ED">
        <w:rPr>
          <w:rFonts w:ascii="Helvetica" w:hAnsi="Helvetica"/>
        </w:rPr>
        <w:t>line</w:t>
      </w:r>
      <w:r w:rsidR="004244F3">
        <w:rPr>
          <w:rFonts w:ascii="Helvetica" w:hAnsi="Helvetica"/>
        </w:rPr>
        <w:t xml:space="preserve"> </w:t>
      </w:r>
      <w:r w:rsidR="003811ED">
        <w:rPr>
          <w:rFonts w:ascii="Helvetica" w:hAnsi="Helvetica"/>
        </w:rPr>
        <w:t>for</w:t>
      </w:r>
      <w:r w:rsidR="004244F3">
        <w:rPr>
          <w:rFonts w:ascii="Helvetica" w:hAnsi="Helvetica"/>
        </w:rPr>
        <w:t xml:space="preserve"> the nowcast</w:t>
      </w:r>
      <w:r w:rsidR="00AE0316">
        <w:rPr>
          <w:rFonts w:ascii="Helvetica" w:hAnsi="Helvetica"/>
        </w:rPr>
        <w:t>ing</w:t>
      </w:r>
      <w:r w:rsidR="004244F3">
        <w:rPr>
          <w:rFonts w:ascii="Helvetica" w:hAnsi="Helvetica"/>
        </w:rPr>
        <w:t xml:space="preserve"> process. </w:t>
      </w:r>
      <w:r w:rsidR="00AE0316">
        <w:rPr>
          <w:rFonts w:ascii="Helvetica" w:hAnsi="Helvetica"/>
        </w:rPr>
        <w:t>The 1</w:t>
      </w:r>
      <w:r w:rsidR="004244F3">
        <w:rPr>
          <w:rFonts w:ascii="Helvetica" w:hAnsi="Helvetica"/>
        </w:rPr>
        <w:t xml:space="preserve">48,000 was then apportioned across all measures according to the </w:t>
      </w:r>
      <w:r w:rsidR="00AE0316">
        <w:rPr>
          <w:rFonts w:ascii="Helvetica" w:hAnsi="Helvetica"/>
        </w:rPr>
        <w:t>proportion of homes requiring each retrofit measure</w:t>
      </w:r>
      <w:r w:rsidR="004244F3">
        <w:rPr>
          <w:rFonts w:ascii="Helvetica" w:hAnsi="Helvetica"/>
        </w:rPr>
        <w:t xml:space="preserve">, </w:t>
      </w:r>
      <w:r w:rsidR="00AE0316">
        <w:rPr>
          <w:rFonts w:ascii="Helvetica" w:hAnsi="Helvetica"/>
        </w:rPr>
        <w:t xml:space="preserve">generating </w:t>
      </w:r>
      <w:r w:rsidR="004244F3">
        <w:rPr>
          <w:rFonts w:ascii="Helvetica" w:hAnsi="Helvetica"/>
        </w:rPr>
        <w:t>estimates for total installations by measure between 2017/18 and 2024/25</w:t>
      </w:r>
      <w:r w:rsidR="00587A73">
        <w:rPr>
          <w:rFonts w:ascii="Helvetica" w:hAnsi="Helvetica"/>
        </w:rPr>
        <w:t xml:space="preserve"> (inclusive)</w:t>
      </w:r>
      <w:r w:rsidR="004244F3">
        <w:rPr>
          <w:rFonts w:ascii="Helvetica" w:hAnsi="Helvetica"/>
        </w:rPr>
        <w:t>.</w:t>
      </w:r>
      <w:r w:rsidR="00587A73">
        <w:rPr>
          <w:rFonts w:ascii="Helvetica" w:hAnsi="Helvetica"/>
        </w:rPr>
        <w:t xml:space="preserve"> Resultantly, we were able to derive estimates of the number of retrofit measures required from 2025/26 onwards.</w:t>
      </w:r>
      <w:r w:rsidR="004244F3">
        <w:rPr>
          <w:rFonts w:ascii="Helvetica" w:hAnsi="Helvetica"/>
        </w:rPr>
        <w:t xml:space="preserve"> </w:t>
      </w:r>
      <w:r w:rsidR="003A7EC2">
        <w:rPr>
          <w:rFonts w:ascii="Helvetica" w:hAnsi="Helvetica"/>
        </w:rPr>
        <w:t xml:space="preserve">A key assumption in this process is that, amongst households that require retrofit installations, the shares </w:t>
      </w:r>
      <w:r w:rsidR="00AE0316">
        <w:rPr>
          <w:rFonts w:ascii="Helvetica" w:hAnsi="Helvetica"/>
        </w:rPr>
        <w:t>for</w:t>
      </w:r>
      <w:r w:rsidR="003A7EC2">
        <w:rPr>
          <w:rFonts w:ascii="Helvetica" w:hAnsi="Helvetica"/>
        </w:rPr>
        <w:t xml:space="preserve"> each required installation remain constant </w:t>
      </w:r>
      <w:r w:rsidR="00D06D0D">
        <w:rPr>
          <w:rFonts w:ascii="Helvetica" w:hAnsi="Helvetica"/>
        </w:rPr>
        <w:t>between 2017/18 and 2024/25</w:t>
      </w:r>
      <w:r w:rsidR="00AE0316">
        <w:rPr>
          <w:rFonts w:ascii="Helvetica" w:hAnsi="Helvetica"/>
        </w:rPr>
        <w:t xml:space="preserve">. </w:t>
      </w:r>
      <w:r w:rsidR="00E670C6">
        <w:rPr>
          <w:rFonts w:ascii="Helvetica" w:hAnsi="Helvetica"/>
        </w:rPr>
        <w:t>Across all measures evaluated</w:t>
      </w:r>
      <w:r w:rsidR="003A7EC2">
        <w:rPr>
          <w:rFonts w:ascii="Helvetica" w:hAnsi="Helvetica"/>
        </w:rPr>
        <w:t>, the</w:t>
      </w:r>
      <w:r w:rsidR="00E670C6">
        <w:rPr>
          <w:rFonts w:ascii="Helvetica" w:hAnsi="Helvetica"/>
        </w:rPr>
        <w:t xml:space="preserve"> derived</w:t>
      </w:r>
      <w:r w:rsidR="003A7EC2">
        <w:rPr>
          <w:rFonts w:ascii="Helvetica" w:hAnsi="Helvetica"/>
        </w:rPr>
        <w:t xml:space="preserve"> installation estimates are cross-checked against existing data where possible, while also accounting for </w:t>
      </w:r>
      <w:r w:rsidR="00D06D0D">
        <w:rPr>
          <w:rFonts w:ascii="Helvetica" w:hAnsi="Helvetica"/>
        </w:rPr>
        <w:t xml:space="preserve">the potential of </w:t>
      </w:r>
      <w:r w:rsidR="003A7EC2">
        <w:rPr>
          <w:rFonts w:ascii="Helvetica" w:hAnsi="Helvetica"/>
        </w:rPr>
        <w:t>additional activity from the private sector on top of installations through government programmes.</w:t>
      </w:r>
    </w:p>
    <w:p w14:paraId="218C2E69" w14:textId="71EF0107" w:rsidR="007250B7" w:rsidRDefault="007250B7" w:rsidP="00E670C6">
      <w:pPr>
        <w:spacing w:after="120" w:line="278" w:lineRule="auto"/>
        <w:jc w:val="both"/>
        <w:rPr>
          <w:rFonts w:ascii="Helvetica" w:hAnsi="Helvetica"/>
        </w:rPr>
      </w:pPr>
      <w:r>
        <w:rPr>
          <w:rFonts w:ascii="Helvetica" w:hAnsi="Helvetica"/>
        </w:rPr>
        <w:t xml:space="preserve">The notable exception here is heat pumps. As of 2017/18, the share of households requiring heat pump installations is elevated due to structural barriers associated with the uptake of a </w:t>
      </w:r>
      <w:r w:rsidR="009F3FC5">
        <w:rPr>
          <w:rFonts w:ascii="Helvetica" w:hAnsi="Helvetica"/>
        </w:rPr>
        <w:t>newer technology</w:t>
      </w:r>
      <w:r w:rsidR="00FF4D12">
        <w:rPr>
          <w:rFonts w:ascii="Helvetica" w:hAnsi="Helvetica"/>
        </w:rPr>
        <w:t>.</w:t>
      </w:r>
      <w:r>
        <w:rPr>
          <w:rFonts w:ascii="Helvetica" w:hAnsi="Helvetica"/>
        </w:rPr>
        <w:t xml:space="preserve"> As such, the outlined apportionment exercise does not work for heat pumps, as it would overestimate the number of installations delivered in this time period</w:t>
      </w:r>
      <w:r w:rsidR="00D06D0D">
        <w:rPr>
          <w:rFonts w:ascii="Helvetica" w:hAnsi="Helvetica"/>
        </w:rPr>
        <w:t xml:space="preserve">. This </w:t>
      </w:r>
      <w:r>
        <w:rPr>
          <w:rFonts w:ascii="Helvetica" w:hAnsi="Helvetica"/>
        </w:rPr>
        <w:t xml:space="preserve">is </w:t>
      </w:r>
      <w:r w:rsidR="00D06D0D">
        <w:rPr>
          <w:rFonts w:ascii="Helvetica" w:hAnsi="Helvetica"/>
        </w:rPr>
        <w:t xml:space="preserve">supported </w:t>
      </w:r>
      <w:r>
        <w:rPr>
          <w:rFonts w:ascii="Helvetica" w:hAnsi="Helvetica"/>
        </w:rPr>
        <w:t>by comparison to outturn installation data. Comprehensive installation data between 2017/18 and 2024/25 is available for heat pumps from the MCS dashboard</w:t>
      </w:r>
      <w:r w:rsidR="009F3FC5">
        <w:rPr>
          <w:rFonts w:ascii="Helvetica" w:hAnsi="Helvetica"/>
        </w:rPr>
        <w:t>. I</w:t>
      </w:r>
      <w:r>
        <w:rPr>
          <w:rFonts w:ascii="Helvetica" w:hAnsi="Helvetica"/>
        </w:rPr>
        <w:t>n this instance, installations over the time period</w:t>
      </w:r>
      <w:r w:rsidR="009F3FC5">
        <w:rPr>
          <w:rFonts w:ascii="Helvetica" w:hAnsi="Helvetica"/>
        </w:rPr>
        <w:t xml:space="preserve"> for heat pumps specifically</w:t>
      </w:r>
      <w:r>
        <w:rPr>
          <w:rFonts w:ascii="Helvetica" w:hAnsi="Helvetica"/>
        </w:rPr>
        <w:t xml:space="preserve"> could be input directly to the model</w:t>
      </w:r>
      <w:r w:rsidR="009F3FC5">
        <w:rPr>
          <w:rFonts w:ascii="Helvetica" w:hAnsi="Helvetica"/>
        </w:rPr>
        <w:t>, reflecting outturn installations till 2024/25 and also YTD figures for 2025/26</w:t>
      </w:r>
      <w:r>
        <w:rPr>
          <w:rFonts w:ascii="Helvetica" w:hAnsi="Helvetica"/>
        </w:rPr>
        <w:t>.</w:t>
      </w:r>
    </w:p>
    <w:sectPr w:rsidR="007250B7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488B45" w14:textId="77777777" w:rsidR="00C677EC" w:rsidRDefault="00C677EC" w:rsidP="00DD6166">
      <w:pPr>
        <w:spacing w:after="0" w:line="240" w:lineRule="auto"/>
      </w:pPr>
      <w:r>
        <w:separator/>
      </w:r>
    </w:p>
  </w:endnote>
  <w:endnote w:type="continuationSeparator" w:id="0">
    <w:p w14:paraId="00CF514F" w14:textId="77777777" w:rsidR="00C677EC" w:rsidRDefault="00C677EC" w:rsidP="00DD6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 Std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Helvetica Neue Light">
    <w:altName w:val="Times New Roman"/>
    <w:charset w:val="00"/>
    <w:family w:val="auto"/>
    <w:pitch w:val="variable"/>
    <w:sig w:usb0="00000001" w:usb1="5000205B" w:usb2="00000002" w:usb3="00000000" w:csb0="0000000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22F606" w14:textId="20B08163" w:rsidR="00DD6166" w:rsidRDefault="00513C86">
    <w:pPr>
      <w:pStyle w:val="Footer"/>
    </w:pPr>
    <w:r>
      <w:rPr>
        <w:rFonts w:ascii="HelveticaNeueLT Std" w:hAnsi="HelveticaNeueLT Std"/>
        <w:i/>
        <w:iCs/>
        <w:noProof/>
        <w:color w:val="A6A6A6" w:themeColor="background1" w:themeShade="A6"/>
        <w:sz w:val="16"/>
        <w:szCs w:val="16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E8ECCCE" wp14:editId="3FB081AB">
              <wp:simplePos x="0" y="0"/>
              <wp:positionH relativeFrom="margin">
                <wp:align>left</wp:align>
              </wp:positionH>
              <wp:positionV relativeFrom="paragraph">
                <wp:posOffset>219075</wp:posOffset>
              </wp:positionV>
              <wp:extent cx="2636520" cy="265142"/>
              <wp:effectExtent l="0" t="0" r="0" b="1905"/>
              <wp:wrapNone/>
              <wp:docPr id="8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36520" cy="26514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85D64AB" w14:textId="77777777" w:rsidR="00DD6166" w:rsidRPr="00C45B80" w:rsidRDefault="00DD6166" w:rsidP="00DD6166">
                          <w:pPr>
                            <w:rPr>
                              <w:rFonts w:ascii="Helvetica Neue Light" w:hAnsi="Helvetica Neue Light"/>
                              <w:i/>
                              <w:iCs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C45B80">
                            <w:rPr>
                              <w:rFonts w:ascii="Helvetica Neue Light" w:hAnsi="Helvetica Neue Light"/>
                              <w:color w:val="FFFFFF" w:themeColor="background1"/>
                              <w:sz w:val="16"/>
                              <w:szCs w:val="16"/>
                            </w:rPr>
                            <w:sym w:font="Symbol" w:char="F0D3"/>
                          </w:r>
                          <w:r w:rsidRPr="00C45B80">
                            <w:rPr>
                              <w:rFonts w:ascii="Helvetica Neue Light" w:hAnsi="Helvetica Neue Light"/>
                              <w:i/>
                              <w:iCs/>
                              <w:color w:val="FFFFFF" w:themeColor="background1"/>
                              <w:sz w:val="16"/>
                              <w:szCs w:val="16"/>
                            </w:rPr>
                            <w:t xml:space="preserve"> Centre for Economics and Business Research</w:t>
                          </w:r>
                        </w:p>
                        <w:p w14:paraId="31EBEC15" w14:textId="77777777" w:rsidR="00DD6166" w:rsidRPr="00C45B80" w:rsidRDefault="00DD6166" w:rsidP="00DD6166">
                          <w:pPr>
                            <w:rPr>
                              <w:color w:val="FFFFFF" w:themeColor="background1"/>
                              <w:sz w:val="21"/>
                              <w:szCs w:val="21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6E8ECCCE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style="position:absolute;margin-left:0;margin-top:17.25pt;width:207.6pt;height:20.9pt;z-index:251663360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" filled="f" stroked="f" strokeweight=".5pt">
              <v:textbox>
                <w:txbxContent>
                  <w:p w14:paraId="785D64AB" w14:textId="77777777" w:rsidR="00DD6166" w:rsidRPr="00C45B80" w:rsidRDefault="00DD6166" w:rsidP="00DD6166">
                    <w:pPr>
                      <w:rPr>
                        <w:rFonts w:ascii="Helvetica Neue Light" w:hAnsi="Helvetica Neue Light"/>
                        <w:i/>
                        <w:iCs/>
                        <w:color w:val="FFFFFF" w:themeColor="background1"/>
                        <w:sz w:val="16"/>
                        <w:szCs w:val="16"/>
                      </w:rPr>
                    </w:pPr>
                    <w:r w:rsidRPr="00C45B80">
                      <w:rPr>
                        <w:rFonts w:ascii="Helvetica Neue Light" w:hAnsi="Helvetica Neue Light"/>
                        <w:color w:val="FFFFFF" w:themeColor="background1"/>
                        <w:sz w:val="16"/>
                        <w:szCs w:val="16"/>
                      </w:rPr>
                      <w:sym w:font="Symbol" w:char="F0D3"/>
                    </w:r>
                    <w:r w:rsidRPr="00C45B80">
                      <w:rPr>
                        <w:rFonts w:ascii="Helvetica Neue Light" w:hAnsi="Helvetica Neue Light"/>
                        <w:i/>
                        <w:iCs/>
                        <w:color w:val="FFFFFF" w:themeColor="background1"/>
                        <w:sz w:val="16"/>
                        <w:szCs w:val="16"/>
                      </w:rPr>
                      <w:t xml:space="preserve"> Centre for Economics and Business Research</w:t>
                    </w:r>
                  </w:p>
                  <w:p w14:paraId="31EBEC15" w14:textId="77777777" w:rsidR="00DD6166" w:rsidRPr="00C45B80" w:rsidRDefault="00DD6166" w:rsidP="00DD6166">
                    <w:pPr>
                      <w:rPr>
                        <w:color w:val="FFFFFF" w:themeColor="background1"/>
                        <w:sz w:val="21"/>
                        <w:szCs w:val="21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9F6E1E" w:rsidRPr="001E3806">
      <w:rPr>
        <w:rFonts w:ascii="HelveticaNeueLT Std" w:hAnsi="HelveticaNeueLT Std"/>
        <w:noProof/>
        <w:sz w:val="16"/>
        <w:szCs w:val="16"/>
      </w:rPr>
      <w:drawing>
        <wp:anchor distT="0" distB="0" distL="114300" distR="114300" simplePos="0" relativeHeight="251667456" behindDoc="0" locked="0" layoutInCell="1" allowOverlap="1" wp14:anchorId="1565B79E" wp14:editId="07ACA1F9">
          <wp:simplePos x="0" y="0"/>
          <wp:positionH relativeFrom="margin">
            <wp:align>right</wp:align>
          </wp:positionH>
          <wp:positionV relativeFrom="paragraph">
            <wp:posOffset>253365</wp:posOffset>
          </wp:positionV>
          <wp:extent cx="533400" cy="186580"/>
          <wp:effectExtent l="0" t="0" r="0" b="4445"/>
          <wp:wrapNone/>
          <wp:docPr id="764445792" name="Picture 764445792" descr="A white text on a black background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35CD60BD-E3A3-3343-BC43-7C81A3473D05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Google Shape;21;p38" descr="A white text on a black background&#10;&#10;Description automatically generated">
                    <a:extLst>
                      <a:ext uri="{FF2B5EF4-FFF2-40B4-BE49-F238E27FC236}">
                        <a16:creationId xmlns:a16="http://schemas.microsoft.com/office/drawing/2014/main" id="{35CD60BD-E3A3-3343-BC43-7C81A3473D05}"/>
                      </a:ext>
                    </a:extLst>
                  </pic:cNvPr>
                  <pic:cNvPicPr preferRelativeResize="0"/>
                </pic:nvPicPr>
                <pic:blipFill rotWithShape="1">
                  <a:blip r:embed="rId1">
                    <a:alphaModFix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>
                  <a:xfrm>
                    <a:off x="0" y="0"/>
                    <a:ext cx="533400" cy="186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4063B">
      <w:rPr>
        <w:noProof/>
      </w:rPr>
      <w:drawing>
        <wp:anchor distT="0" distB="0" distL="114300" distR="114300" simplePos="0" relativeHeight="251659264" behindDoc="1" locked="0" layoutInCell="1" allowOverlap="1" wp14:anchorId="720E74B9" wp14:editId="24EAF3B3">
          <wp:simplePos x="0" y="0"/>
          <wp:positionH relativeFrom="page">
            <wp:align>right</wp:align>
          </wp:positionH>
          <wp:positionV relativeFrom="paragraph">
            <wp:posOffset>57150</wp:posOffset>
          </wp:positionV>
          <wp:extent cx="7759700" cy="708660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Artboard 27 copy 12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700" cy="708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DF774E" w14:textId="77777777" w:rsidR="00C677EC" w:rsidRDefault="00C677EC" w:rsidP="00DD6166">
      <w:pPr>
        <w:spacing w:after="0" w:line="240" w:lineRule="auto"/>
      </w:pPr>
      <w:r>
        <w:separator/>
      </w:r>
    </w:p>
  </w:footnote>
  <w:footnote w:type="continuationSeparator" w:id="0">
    <w:p w14:paraId="478C983A" w14:textId="77777777" w:rsidR="00C677EC" w:rsidRDefault="00C677EC" w:rsidP="00DD61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CF54B" w14:textId="1308CBFC" w:rsidR="00DD6166" w:rsidRDefault="00DD6166">
    <w:pPr>
      <w:pStyle w:val="Header"/>
    </w:pPr>
    <w:r>
      <w:tab/>
    </w:r>
    <w:r>
      <w:tab/>
    </w:r>
    <w:r>
      <w:rPr>
        <w:noProof/>
      </w:rPr>
      <w:drawing>
        <wp:inline distT="0" distB="0" distL="0" distR="0" wp14:anchorId="5E8103C8" wp14:editId="01F17190">
          <wp:extent cx="551815" cy="551815"/>
          <wp:effectExtent l="0" t="0" r="635" b="635"/>
          <wp:docPr id="514981993" name="Picture 1" descr="A blue background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4981993" name="Picture 1" descr="A blue background with white text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1899" cy="5518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73F0D"/>
    <w:multiLevelType w:val="hybridMultilevel"/>
    <w:tmpl w:val="1B2CC2FE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" w15:restartNumberingAfterBreak="0">
    <w:nsid w:val="02900F72"/>
    <w:multiLevelType w:val="hybridMultilevel"/>
    <w:tmpl w:val="51A224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986F33"/>
    <w:multiLevelType w:val="hybridMultilevel"/>
    <w:tmpl w:val="9EBC24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2C3E5B"/>
    <w:multiLevelType w:val="hybridMultilevel"/>
    <w:tmpl w:val="0AE698F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14223C"/>
    <w:multiLevelType w:val="hybridMultilevel"/>
    <w:tmpl w:val="24DEC6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F27CDB"/>
    <w:multiLevelType w:val="hybridMultilevel"/>
    <w:tmpl w:val="38D49D06"/>
    <w:lvl w:ilvl="0" w:tplc="21D8AC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3F60E8"/>
    <w:multiLevelType w:val="hybridMultilevel"/>
    <w:tmpl w:val="04A6D1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0E0C60"/>
    <w:multiLevelType w:val="hybridMultilevel"/>
    <w:tmpl w:val="DC2C3C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DA01FB"/>
    <w:multiLevelType w:val="hybridMultilevel"/>
    <w:tmpl w:val="D8A6DB5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25443C"/>
    <w:multiLevelType w:val="hybridMultilevel"/>
    <w:tmpl w:val="0B122D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455EA2"/>
    <w:multiLevelType w:val="hybridMultilevel"/>
    <w:tmpl w:val="71F64C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4A2406"/>
    <w:multiLevelType w:val="hybridMultilevel"/>
    <w:tmpl w:val="6BB8D3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F7346C"/>
    <w:multiLevelType w:val="hybridMultilevel"/>
    <w:tmpl w:val="B6AA31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4F3E0B"/>
    <w:multiLevelType w:val="hybridMultilevel"/>
    <w:tmpl w:val="C7B2A6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7E2346"/>
    <w:multiLevelType w:val="hybridMultilevel"/>
    <w:tmpl w:val="EFD8F3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703B1E"/>
    <w:multiLevelType w:val="hybridMultilevel"/>
    <w:tmpl w:val="D77892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9607F5"/>
    <w:multiLevelType w:val="hybridMultilevel"/>
    <w:tmpl w:val="6E1A58E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4C26BD"/>
    <w:multiLevelType w:val="hybridMultilevel"/>
    <w:tmpl w:val="99F6EA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7E03AB"/>
    <w:multiLevelType w:val="hybridMultilevel"/>
    <w:tmpl w:val="39DAAADE"/>
    <w:lvl w:ilvl="0" w:tplc="8070AE1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B56B01"/>
    <w:multiLevelType w:val="hybridMultilevel"/>
    <w:tmpl w:val="DDA6E794"/>
    <w:lvl w:ilvl="0" w:tplc="16CA8A3E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C835155"/>
    <w:multiLevelType w:val="hybridMultilevel"/>
    <w:tmpl w:val="FF5C2A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8F6FF4"/>
    <w:multiLevelType w:val="hybridMultilevel"/>
    <w:tmpl w:val="62F4A5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F47977"/>
    <w:multiLevelType w:val="hybridMultilevel"/>
    <w:tmpl w:val="5150E2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1351AB"/>
    <w:multiLevelType w:val="hybridMultilevel"/>
    <w:tmpl w:val="AAB46C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B22A94"/>
    <w:multiLevelType w:val="hybridMultilevel"/>
    <w:tmpl w:val="A3CAFFE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313676"/>
    <w:multiLevelType w:val="hybridMultilevel"/>
    <w:tmpl w:val="081A4B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2F4D48"/>
    <w:multiLevelType w:val="hybridMultilevel"/>
    <w:tmpl w:val="0106C1AC"/>
    <w:lvl w:ilvl="0" w:tplc="CEDA162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2A52D4"/>
    <w:multiLevelType w:val="hybridMultilevel"/>
    <w:tmpl w:val="139211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9201757">
    <w:abstractNumId w:val="2"/>
  </w:num>
  <w:num w:numId="2" w16cid:durableId="1477991638">
    <w:abstractNumId w:val="6"/>
  </w:num>
  <w:num w:numId="3" w16cid:durableId="2000620295">
    <w:abstractNumId w:val="14"/>
  </w:num>
  <w:num w:numId="4" w16cid:durableId="1517383884">
    <w:abstractNumId w:val="5"/>
  </w:num>
  <w:num w:numId="5" w16cid:durableId="62029115">
    <w:abstractNumId w:val="4"/>
  </w:num>
  <w:num w:numId="6" w16cid:durableId="807866245">
    <w:abstractNumId w:val="7"/>
  </w:num>
  <w:num w:numId="7" w16cid:durableId="467206689">
    <w:abstractNumId w:val="17"/>
  </w:num>
  <w:num w:numId="8" w16cid:durableId="1850365143">
    <w:abstractNumId w:val="1"/>
  </w:num>
  <w:num w:numId="9" w16cid:durableId="1037857855">
    <w:abstractNumId w:val="23"/>
  </w:num>
  <w:num w:numId="10" w16cid:durableId="297880926">
    <w:abstractNumId w:val="26"/>
  </w:num>
  <w:num w:numId="11" w16cid:durableId="517088818">
    <w:abstractNumId w:val="27"/>
  </w:num>
  <w:num w:numId="12" w16cid:durableId="1315646523">
    <w:abstractNumId w:val="19"/>
  </w:num>
  <w:num w:numId="13" w16cid:durableId="1334189268">
    <w:abstractNumId w:val="11"/>
  </w:num>
  <w:num w:numId="14" w16cid:durableId="1796291826">
    <w:abstractNumId w:val="13"/>
  </w:num>
  <w:num w:numId="15" w16cid:durableId="2017729505">
    <w:abstractNumId w:val="16"/>
  </w:num>
  <w:num w:numId="16" w16cid:durableId="1487085295">
    <w:abstractNumId w:val="15"/>
  </w:num>
  <w:num w:numId="17" w16cid:durableId="773209665">
    <w:abstractNumId w:val="3"/>
  </w:num>
  <w:num w:numId="18" w16cid:durableId="1498494036">
    <w:abstractNumId w:val="12"/>
  </w:num>
  <w:num w:numId="19" w16cid:durableId="1108892403">
    <w:abstractNumId w:val="21"/>
  </w:num>
  <w:num w:numId="20" w16cid:durableId="1404640932">
    <w:abstractNumId w:val="9"/>
  </w:num>
  <w:num w:numId="21" w16cid:durableId="1631092379">
    <w:abstractNumId w:val="20"/>
  </w:num>
  <w:num w:numId="22" w16cid:durableId="1590043425">
    <w:abstractNumId w:val="22"/>
  </w:num>
  <w:num w:numId="23" w16cid:durableId="695235269">
    <w:abstractNumId w:val="18"/>
  </w:num>
  <w:num w:numId="24" w16cid:durableId="1485468778">
    <w:abstractNumId w:val="24"/>
  </w:num>
  <w:num w:numId="25" w16cid:durableId="1468277531">
    <w:abstractNumId w:val="8"/>
  </w:num>
  <w:num w:numId="26" w16cid:durableId="934675949">
    <w:abstractNumId w:val="0"/>
  </w:num>
  <w:num w:numId="27" w16cid:durableId="524558699">
    <w:abstractNumId w:val="10"/>
  </w:num>
  <w:num w:numId="28" w16cid:durableId="77051131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166"/>
    <w:rsid w:val="000101C8"/>
    <w:rsid w:val="00036DF5"/>
    <w:rsid w:val="00042F81"/>
    <w:rsid w:val="00081CD8"/>
    <w:rsid w:val="00081E60"/>
    <w:rsid w:val="00085158"/>
    <w:rsid w:val="000A68E5"/>
    <w:rsid w:val="000E4D62"/>
    <w:rsid w:val="000F686C"/>
    <w:rsid w:val="00102CA2"/>
    <w:rsid w:val="00137BE2"/>
    <w:rsid w:val="00154805"/>
    <w:rsid w:val="001603E0"/>
    <w:rsid w:val="0018124D"/>
    <w:rsid w:val="001A4771"/>
    <w:rsid w:val="001B1240"/>
    <w:rsid w:val="001D2D80"/>
    <w:rsid w:val="001D5683"/>
    <w:rsid w:val="001D7D1B"/>
    <w:rsid w:val="001E02D5"/>
    <w:rsid w:val="002022AF"/>
    <w:rsid w:val="00202457"/>
    <w:rsid w:val="00213CA5"/>
    <w:rsid w:val="002352D0"/>
    <w:rsid w:val="002521E9"/>
    <w:rsid w:val="00272227"/>
    <w:rsid w:val="00297B18"/>
    <w:rsid w:val="002D04C5"/>
    <w:rsid w:val="002E0F6E"/>
    <w:rsid w:val="003361A8"/>
    <w:rsid w:val="00337A92"/>
    <w:rsid w:val="00347420"/>
    <w:rsid w:val="003811ED"/>
    <w:rsid w:val="00390472"/>
    <w:rsid w:val="003A2FC9"/>
    <w:rsid w:val="003A6E56"/>
    <w:rsid w:val="003A7EC2"/>
    <w:rsid w:val="003D59DB"/>
    <w:rsid w:val="003E5C24"/>
    <w:rsid w:val="003F7F2C"/>
    <w:rsid w:val="004039F2"/>
    <w:rsid w:val="004244F3"/>
    <w:rsid w:val="00465D7A"/>
    <w:rsid w:val="0047416F"/>
    <w:rsid w:val="00476A8A"/>
    <w:rsid w:val="00477B37"/>
    <w:rsid w:val="004A5718"/>
    <w:rsid w:val="004D19AE"/>
    <w:rsid w:val="004E2E7F"/>
    <w:rsid w:val="004E3E7E"/>
    <w:rsid w:val="004E56F7"/>
    <w:rsid w:val="004F0FE0"/>
    <w:rsid w:val="004F2353"/>
    <w:rsid w:val="005017B7"/>
    <w:rsid w:val="00513C86"/>
    <w:rsid w:val="00550625"/>
    <w:rsid w:val="00553B6B"/>
    <w:rsid w:val="00554144"/>
    <w:rsid w:val="00581B5B"/>
    <w:rsid w:val="00587A73"/>
    <w:rsid w:val="005B144A"/>
    <w:rsid w:val="005B3089"/>
    <w:rsid w:val="005B3B3C"/>
    <w:rsid w:val="005B7813"/>
    <w:rsid w:val="005F78BD"/>
    <w:rsid w:val="00621E31"/>
    <w:rsid w:val="00623F0F"/>
    <w:rsid w:val="006329CD"/>
    <w:rsid w:val="00636130"/>
    <w:rsid w:val="0064546B"/>
    <w:rsid w:val="006524C8"/>
    <w:rsid w:val="006E611C"/>
    <w:rsid w:val="0070062E"/>
    <w:rsid w:val="0071073D"/>
    <w:rsid w:val="007211E2"/>
    <w:rsid w:val="007250B7"/>
    <w:rsid w:val="007679C5"/>
    <w:rsid w:val="00795897"/>
    <w:rsid w:val="00796CF1"/>
    <w:rsid w:val="007A0AB7"/>
    <w:rsid w:val="007A2CAE"/>
    <w:rsid w:val="007B4804"/>
    <w:rsid w:val="007B7AB9"/>
    <w:rsid w:val="007F1FA4"/>
    <w:rsid w:val="00822789"/>
    <w:rsid w:val="00823582"/>
    <w:rsid w:val="00855E12"/>
    <w:rsid w:val="008615DC"/>
    <w:rsid w:val="00862CA6"/>
    <w:rsid w:val="0087085A"/>
    <w:rsid w:val="008C0EA6"/>
    <w:rsid w:val="008E6940"/>
    <w:rsid w:val="008E723B"/>
    <w:rsid w:val="008F5175"/>
    <w:rsid w:val="00905840"/>
    <w:rsid w:val="00913F48"/>
    <w:rsid w:val="00940491"/>
    <w:rsid w:val="0094479B"/>
    <w:rsid w:val="00946165"/>
    <w:rsid w:val="00975CB6"/>
    <w:rsid w:val="009A0A7A"/>
    <w:rsid w:val="009B78AA"/>
    <w:rsid w:val="009C41CD"/>
    <w:rsid w:val="009C6B7B"/>
    <w:rsid w:val="009E4BBB"/>
    <w:rsid w:val="009F3FC5"/>
    <w:rsid w:val="009F6E1E"/>
    <w:rsid w:val="00A00786"/>
    <w:rsid w:val="00A042FE"/>
    <w:rsid w:val="00A14576"/>
    <w:rsid w:val="00A165F0"/>
    <w:rsid w:val="00A16C88"/>
    <w:rsid w:val="00A26E57"/>
    <w:rsid w:val="00A6544D"/>
    <w:rsid w:val="00AA0028"/>
    <w:rsid w:val="00AA1473"/>
    <w:rsid w:val="00AB2396"/>
    <w:rsid w:val="00AB46F0"/>
    <w:rsid w:val="00AC06E2"/>
    <w:rsid w:val="00AE0316"/>
    <w:rsid w:val="00AF2F64"/>
    <w:rsid w:val="00B0120A"/>
    <w:rsid w:val="00B03F64"/>
    <w:rsid w:val="00B16D8F"/>
    <w:rsid w:val="00B17711"/>
    <w:rsid w:val="00B20BD2"/>
    <w:rsid w:val="00B21CF9"/>
    <w:rsid w:val="00B2636A"/>
    <w:rsid w:val="00B26894"/>
    <w:rsid w:val="00B31CD1"/>
    <w:rsid w:val="00B67A4F"/>
    <w:rsid w:val="00B76762"/>
    <w:rsid w:val="00B85FC0"/>
    <w:rsid w:val="00B91FF8"/>
    <w:rsid w:val="00BB2C96"/>
    <w:rsid w:val="00BB3FA5"/>
    <w:rsid w:val="00BB5E5A"/>
    <w:rsid w:val="00BB7FE4"/>
    <w:rsid w:val="00BC04A5"/>
    <w:rsid w:val="00BD239E"/>
    <w:rsid w:val="00BD50A3"/>
    <w:rsid w:val="00BE153C"/>
    <w:rsid w:val="00BF182A"/>
    <w:rsid w:val="00BF2C90"/>
    <w:rsid w:val="00C064B0"/>
    <w:rsid w:val="00C0677E"/>
    <w:rsid w:val="00C11FA2"/>
    <w:rsid w:val="00C2735A"/>
    <w:rsid w:val="00C4073B"/>
    <w:rsid w:val="00C41A1C"/>
    <w:rsid w:val="00C57383"/>
    <w:rsid w:val="00C677EC"/>
    <w:rsid w:val="00C77DC2"/>
    <w:rsid w:val="00C80EDE"/>
    <w:rsid w:val="00CB256F"/>
    <w:rsid w:val="00CB5457"/>
    <w:rsid w:val="00CD18D5"/>
    <w:rsid w:val="00CE241C"/>
    <w:rsid w:val="00CE6F9E"/>
    <w:rsid w:val="00D0051D"/>
    <w:rsid w:val="00D0155F"/>
    <w:rsid w:val="00D06D0D"/>
    <w:rsid w:val="00D24501"/>
    <w:rsid w:val="00DC7AA1"/>
    <w:rsid w:val="00DD1CEB"/>
    <w:rsid w:val="00DD5A9D"/>
    <w:rsid w:val="00DD6166"/>
    <w:rsid w:val="00DF6487"/>
    <w:rsid w:val="00E07BF6"/>
    <w:rsid w:val="00E23932"/>
    <w:rsid w:val="00E670C6"/>
    <w:rsid w:val="00EB4988"/>
    <w:rsid w:val="00EC1193"/>
    <w:rsid w:val="00EC6850"/>
    <w:rsid w:val="00EC7250"/>
    <w:rsid w:val="00ED5561"/>
    <w:rsid w:val="00EE4B28"/>
    <w:rsid w:val="00EF31F2"/>
    <w:rsid w:val="00F11EEF"/>
    <w:rsid w:val="00F13572"/>
    <w:rsid w:val="00F27022"/>
    <w:rsid w:val="00F36FCE"/>
    <w:rsid w:val="00F4063B"/>
    <w:rsid w:val="00F41B5E"/>
    <w:rsid w:val="00F420F5"/>
    <w:rsid w:val="00F430CB"/>
    <w:rsid w:val="00F852CA"/>
    <w:rsid w:val="00FE3F4A"/>
    <w:rsid w:val="00FF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B69314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182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84FF5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182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84FF5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61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6166"/>
  </w:style>
  <w:style w:type="paragraph" w:styleId="Footer">
    <w:name w:val="footer"/>
    <w:basedOn w:val="Normal"/>
    <w:link w:val="FooterChar"/>
    <w:uiPriority w:val="99"/>
    <w:unhideWhenUsed/>
    <w:rsid w:val="00DD61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6166"/>
  </w:style>
  <w:style w:type="paragraph" w:styleId="ListParagraph">
    <w:name w:val="List Paragraph"/>
    <w:basedOn w:val="Normal"/>
    <w:uiPriority w:val="34"/>
    <w:qFormat/>
    <w:rsid w:val="00F4063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406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4063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4063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06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063B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795897"/>
    <w:rPr>
      <w:color w:val="467886" w:themeColor="hyperlink"/>
      <w:u w:val="single"/>
    </w:rPr>
  </w:style>
  <w:style w:type="paragraph" w:styleId="Revision">
    <w:name w:val="Revision"/>
    <w:hidden/>
    <w:uiPriority w:val="99"/>
    <w:semiHidden/>
    <w:rsid w:val="00B85FC0"/>
    <w:pPr>
      <w:spacing w:after="0" w:line="240" w:lineRule="auto"/>
    </w:pPr>
  </w:style>
  <w:style w:type="table" w:styleId="TableGrid">
    <w:name w:val="Table Grid"/>
    <w:basedOn w:val="TableNormal"/>
    <w:uiPriority w:val="39"/>
    <w:rsid w:val="002D04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2D04C5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2-Accent1">
    <w:name w:val="Grid Table 2 Accent 1"/>
    <w:basedOn w:val="TableNormal"/>
    <w:uiPriority w:val="47"/>
    <w:rsid w:val="002D04C5"/>
    <w:pPr>
      <w:spacing w:after="0" w:line="240" w:lineRule="auto"/>
    </w:pPr>
    <w:tblPr>
      <w:tblStyleRowBandSize w:val="1"/>
      <w:tblStyleColBandSize w:val="1"/>
      <w:tblBorders>
        <w:top w:val="single" w:sz="2" w:space="0" w:color="E7FFDE" w:themeColor="accent1" w:themeTint="99"/>
        <w:bottom w:val="single" w:sz="2" w:space="0" w:color="E7FFDE" w:themeColor="accent1" w:themeTint="99"/>
        <w:insideH w:val="single" w:sz="2" w:space="0" w:color="E7FFDE" w:themeColor="accent1" w:themeTint="99"/>
        <w:insideV w:val="single" w:sz="2" w:space="0" w:color="E7FFDE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7FFDE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7FFDE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FFF4" w:themeFill="accent1" w:themeFillTint="33"/>
      </w:tcPr>
    </w:tblStylePr>
    <w:tblStylePr w:type="band1Horz">
      <w:tblPr/>
      <w:tcPr>
        <w:shd w:val="clear" w:color="auto" w:fill="F7FFF4" w:themeFill="accent1" w:themeFillTint="33"/>
      </w:tcPr>
    </w:tblStylePr>
  </w:style>
  <w:style w:type="table" w:styleId="ListTable6ColourfulAccent5">
    <w:name w:val="List Table 6 Colorful Accent 5"/>
    <w:basedOn w:val="TableNormal"/>
    <w:uiPriority w:val="51"/>
    <w:rsid w:val="00B76762"/>
    <w:pPr>
      <w:spacing w:after="0" w:line="240" w:lineRule="auto"/>
    </w:pPr>
    <w:rPr>
      <w:color w:val="B70E14" w:themeColor="accent5" w:themeShade="BF"/>
    </w:rPr>
    <w:tblPr>
      <w:tblStyleRowBandSize w:val="1"/>
      <w:tblStyleColBandSize w:val="1"/>
      <w:tblBorders>
        <w:top w:val="single" w:sz="4" w:space="0" w:color="ED1C24" w:themeColor="accent5"/>
        <w:bottom w:val="single" w:sz="4" w:space="0" w:color="ED1C2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ED1C2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ED1C2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1D2" w:themeFill="accent5" w:themeFillTint="33"/>
      </w:tcPr>
    </w:tblStylePr>
    <w:tblStylePr w:type="band1Horz">
      <w:tblPr/>
      <w:tcPr>
        <w:shd w:val="clear" w:color="auto" w:fill="FBD1D2" w:themeFill="accent5" w:themeFillTint="33"/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5B144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B256F"/>
    <w:rPr>
      <w:color w:val="800080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CB256F"/>
    <w:pPr>
      <w:spacing w:after="200" w:line="240" w:lineRule="auto"/>
    </w:pPr>
    <w:rPr>
      <w:i/>
      <w:iCs/>
      <w:color w:val="008C9B" w:themeColor="text2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182A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BF182A"/>
    <w:rPr>
      <w:rFonts w:eastAsiaTheme="minorEastAsia"/>
      <w:color w:val="5A5A5A" w:themeColor="text1" w:themeTint="A5"/>
      <w:spacing w:val="15"/>
    </w:rPr>
  </w:style>
  <w:style w:type="paragraph" w:styleId="Title">
    <w:name w:val="Title"/>
    <w:basedOn w:val="Normal"/>
    <w:next w:val="Normal"/>
    <w:link w:val="TitleChar"/>
    <w:uiPriority w:val="10"/>
    <w:qFormat/>
    <w:rsid w:val="00BF182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18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BF182A"/>
    <w:rPr>
      <w:rFonts w:asciiTheme="majorHAnsi" w:eastAsiaTheme="majorEastAsia" w:hAnsiTheme="majorHAnsi" w:cstheme="majorBidi"/>
      <w:color w:val="84FF5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BF182A"/>
    <w:rPr>
      <w:rFonts w:asciiTheme="majorHAnsi" w:eastAsiaTheme="majorEastAsia" w:hAnsiTheme="majorHAnsi" w:cstheme="majorBidi"/>
      <w:color w:val="84FF5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1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92728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58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5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7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1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9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s://www.gov.wales/sites/default/files/publications/2021-10/net-zero-wales-carbon-budget-2-2021-25.pdf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eme1">
  <a:themeElements>
    <a:clrScheme name="Custom 1">
      <a:dk1>
        <a:srgbClr val="000000"/>
      </a:dk1>
      <a:lt1>
        <a:srgbClr val="FFFFFF"/>
      </a:lt1>
      <a:dk2>
        <a:srgbClr val="008C9B"/>
      </a:dk2>
      <a:lt2>
        <a:srgbClr val="EEECE1"/>
      </a:lt2>
      <a:accent1>
        <a:srgbClr val="D8FFC9"/>
      </a:accent1>
      <a:accent2>
        <a:srgbClr val="00AEEF"/>
      </a:accent2>
      <a:accent3>
        <a:srgbClr val="6D6E71"/>
      </a:accent3>
      <a:accent4>
        <a:srgbClr val="BCBEC0"/>
      </a:accent4>
      <a:accent5>
        <a:srgbClr val="ED1C24"/>
      </a:accent5>
      <a:accent6>
        <a:srgbClr val="004A53"/>
      </a:accent6>
      <a:hlink>
        <a:srgbClr val="467886"/>
      </a:hlink>
      <a:folHlink>
        <a:srgbClr val="800080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 Narrow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A61907710</value>
    </field>
    <field name="Objective-Title">
      <value order="0">Interactive Model Technical Appendix - Nowcasting Retrofit Requirements - l Centre for Economics and Business Research "CEBR" Assessing workforce requirements for home retrofitting in Wales</value>
    </field>
    <field name="Objective-Description">
      <value order="0"/>
    </field>
    <field name="Objective-CreationStamp">
      <value order="0">2026-03-05T07:36:53Z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2026-03-05T08:36:30Z</value>
    </field>
    <field name="Objective-Owner">
      <value order="0">Davies, Malcolm (LGHCCRA - Housing Quality Division)</value>
    </field>
    <field name="Objective-Path">
      <value order="0">Objective Global Folder:#Business File Plan:WG Organisational Groups:Post April 2024 - Corporate Services &amp; Inspectorates:Corporate Services &amp; Inspectorates (CSI) - Commercial and Procurement - Procurement Delivery:1 - Save:1 - CPS:Corporate Procurement Services - Contracts - ┬ú25k to Official Journal of the EU (OJEU):Procurement - ┬ú25k to OJEU/FTS - 2025/2026:LGHCCRA - Housing Quality Division - C229/2025/2026 - Construction Workforce Assessment :LGHCCRA - Housing Quality Division - C229/2025/2026 - Construction Workforce Assessment :Web Page</value>
    </field>
    <field name="Objective-Parent">
      <value order="0">Web Page</value>
    </field>
    <field name="Objective-State">
      <value order="0">Being Drafted</value>
    </field>
    <field name="Objective-VersionId">
      <value order="0">vA111523025</value>
    </field>
    <field name="Objective-Version">
      <value order="0">0.1</value>
    </field>
    <field name="Objective-VersionNumber">
      <value order="0">1</value>
    </field>
    <field name="Objective-VersionComment">
      <value order="0">First version</value>
    </field>
    <field name="Objective-FileNumber">
      <value order="0">qA2365510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54C7193A-7C98-4434-B5F2-8E8D804874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452</Words>
  <Characters>2698</Characters>
  <Application>Microsoft Office Word</Application>
  <DocSecurity>0</DocSecurity>
  <Lines>38</Lines>
  <Paragraphs>6</Paragraphs>
  <ScaleCrop>false</ScaleCrop>
  <Company/>
  <LinksUpToDate>false</LinksUpToDate>
  <CharactersWithSpaces>3144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2026-03-10T19:15:00Z</dcterms:created>
  <dcterms:modified xsi:type="dcterms:W3CDTF">2026-03-10T19:15:00Z</dcterms:modified>
</cp:coreProperties>
</file>