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F0D02D" w14:textId="77777777" w:rsidR="001B32E6" w:rsidRPr="001B32E6" w:rsidRDefault="001B32E6" w:rsidP="001B32E6">
      <w:pPr>
        <w:spacing w:after="375" w:line="240" w:lineRule="auto"/>
        <w:outlineLvl w:val="0"/>
        <w:rPr>
          <w:rFonts w:ascii="Times New Roman" w:eastAsia="Times New Roman" w:hAnsi="Times New Roman" w:cs="Times New Roman"/>
          <w:b/>
          <w:bCs/>
          <w:kern w:val="36"/>
          <w:sz w:val="48"/>
          <w:szCs w:val="48"/>
        </w:rPr>
      </w:pPr>
      <w:r>
        <w:rPr>
          <w:rFonts w:ascii="Times New Roman" w:hAnsi="Times New Roman"/>
          <w:b/>
          <w:kern w:val="36"/>
          <w:sz w:val="48"/>
        </w:rPr>
        <w:t>Najemcy: zmiany przepisów lokalowych (ustawa Renting Homes Act)</w:t>
      </w:r>
    </w:p>
    <w:p w14:paraId="0057C728" w14:textId="77777777" w:rsidR="001B32E6" w:rsidRPr="001B32E6" w:rsidRDefault="001B32E6" w:rsidP="001B32E6">
      <w:pPr>
        <w:spacing w:after="300" w:line="240" w:lineRule="auto"/>
        <w:rPr>
          <w:rFonts w:ascii="Times New Roman" w:eastAsia="Times New Roman" w:hAnsi="Times New Roman" w:cs="Times New Roman"/>
          <w:sz w:val="24"/>
          <w:szCs w:val="24"/>
        </w:rPr>
      </w:pPr>
      <w:r>
        <w:rPr>
          <w:rFonts w:ascii="Times New Roman" w:hAnsi="Times New Roman"/>
          <w:sz w:val="24"/>
        </w:rPr>
        <w:t>Ustawa Renting Homes Act to największa od dziesięcioleci zmiana przepisów lokalowych w Walii. Zapewnia większą ochronę najemców i licencjobiorców oraz dokładniej określa ich prawa i obowiązki. Ustawa Renting Homes Act dotyczy zarówno najemców, jak i licencjobiorców, dlatego zgodnie z nowymi przepisami są oni nazywani „stronami kontraktu”. Wynajmujący zawiera z najemcą „kontrakt na zajmowanie lokalu”, który zastępuje umowę najmu lub licencyjną.</w:t>
      </w:r>
    </w:p>
    <w:p w14:paraId="428004F3" w14:textId="77777777" w:rsidR="001B32E6" w:rsidRPr="001B32E6" w:rsidRDefault="001B32E6" w:rsidP="001B32E6">
      <w:pPr>
        <w:spacing w:after="300" w:line="240" w:lineRule="auto"/>
        <w:rPr>
          <w:rFonts w:ascii="Times New Roman" w:eastAsia="Times New Roman" w:hAnsi="Times New Roman" w:cs="Times New Roman"/>
          <w:sz w:val="24"/>
          <w:szCs w:val="24"/>
        </w:rPr>
      </w:pPr>
      <w:r>
        <w:rPr>
          <w:rFonts w:ascii="Times New Roman" w:hAnsi="Times New Roman"/>
          <w:sz w:val="24"/>
        </w:rPr>
        <w:t>Są dwa rodzaje kontraktów na zajmowanie lokalu:</w:t>
      </w:r>
    </w:p>
    <w:p w14:paraId="444AB9B1" w14:textId="77777777" w:rsidR="001B32E6" w:rsidRPr="001B32E6" w:rsidRDefault="001B32E6" w:rsidP="001B32E6">
      <w:pPr>
        <w:numPr>
          <w:ilvl w:val="0"/>
          <w:numId w:val="2"/>
        </w:numPr>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sz w:val="24"/>
        </w:rPr>
        <w:t>Bezpieczny kontrakt: zastępuje on bezpieczne umowy najmu stosowane przez władze lokalne oraz gwarantowane umowy najmu stosowane przez spółdzielnie mieszkaniowe o statusie Registered Social Landlord (RSL).</w:t>
      </w:r>
    </w:p>
    <w:p w14:paraId="01C2943F" w14:textId="77777777" w:rsidR="001B32E6" w:rsidRPr="001B32E6" w:rsidRDefault="001B32E6" w:rsidP="001B32E6">
      <w:pPr>
        <w:numPr>
          <w:ilvl w:val="0"/>
          <w:numId w:val="2"/>
        </w:numPr>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sz w:val="24"/>
        </w:rPr>
        <w:t>Standardowy kontrakt: będzie on używany głównie w sektorze najmu prywatnego (gdy wynajmujący nie jest urzędem lokalnym ani RSL), ale w określonych sytuacjach może być stosowany przez władze lokalne i RSL (np. „standardowy kontrakt na zajmowanie lokalu socjalnego” w przypadku lokali socjalnych).</w:t>
      </w:r>
    </w:p>
    <w:p w14:paraId="20BDD94E" w14:textId="77777777" w:rsidR="001B32E6" w:rsidRPr="001B32E6" w:rsidRDefault="001B32E6" w:rsidP="001B32E6">
      <w:pPr>
        <w:spacing w:after="300" w:line="240" w:lineRule="auto"/>
        <w:rPr>
          <w:rFonts w:ascii="Times New Roman" w:eastAsia="Times New Roman" w:hAnsi="Times New Roman" w:cs="Times New Roman"/>
          <w:sz w:val="24"/>
          <w:szCs w:val="24"/>
        </w:rPr>
      </w:pPr>
      <w:r>
        <w:rPr>
          <w:rFonts w:ascii="Times New Roman" w:hAnsi="Times New Roman"/>
          <w:sz w:val="24"/>
        </w:rPr>
        <w:t>Kontrakt na zajmowanie lokalu zawierany z wynajmującym musi mieć postać „oświadczenia na piśmie”. Celem tego dokumentu jest potwierdzenie warunków umowy. Oświadczenie na piśmie musi zawierać wszystkie „wymagane warunki umowy”. Obejmują one:</w:t>
      </w:r>
    </w:p>
    <w:p w14:paraId="2E464375" w14:textId="77777777" w:rsidR="001B32E6" w:rsidRPr="001B32E6" w:rsidRDefault="001B32E6" w:rsidP="001B32E6">
      <w:pPr>
        <w:numPr>
          <w:ilvl w:val="0"/>
          <w:numId w:val="3"/>
        </w:numPr>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sz w:val="24"/>
        </w:rPr>
        <w:t>Kluczowe kwestie: na przykład imię i nazwisko lub nazwa wynajmującego i strony kontraktu oraz adres nieruchomości. Te informacje muszą być zawarte w każdym kontrakcie.</w:t>
      </w:r>
    </w:p>
    <w:p w14:paraId="589699DF" w14:textId="77777777" w:rsidR="001B32E6" w:rsidRPr="001B32E6" w:rsidRDefault="001B32E6" w:rsidP="001B32E6">
      <w:pPr>
        <w:numPr>
          <w:ilvl w:val="0"/>
          <w:numId w:val="3"/>
        </w:numPr>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sz w:val="24"/>
        </w:rPr>
        <w:t>Warunki podstawowe: najważniejsze aspekty kontraktu określające na przykład, w jaki sposób wynajmujący wchodzi w posiadanie lokalu i jakie są jego obowiązki dotyczące napraw.</w:t>
      </w:r>
    </w:p>
    <w:p w14:paraId="2499ECF6" w14:textId="77777777" w:rsidR="001B32E6" w:rsidRPr="001B32E6" w:rsidRDefault="001B32E6" w:rsidP="001B32E6">
      <w:pPr>
        <w:numPr>
          <w:ilvl w:val="0"/>
          <w:numId w:val="3"/>
        </w:numPr>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sz w:val="24"/>
        </w:rPr>
        <w:t>Warunki uzupełniające: bardzie praktyczne, codzienne kwestie dotyczące kontraktu na zajmowanie lokalu. Na przykład wymóg powiadamiania wynajmującego, jeśli nieruchomość nie będzie zamieszkana przez cztery tygodnie lub dłużej.</w:t>
      </w:r>
    </w:p>
    <w:p w14:paraId="402450E4" w14:textId="77777777" w:rsidR="001B32E6" w:rsidRPr="001B32E6" w:rsidRDefault="001B32E6" w:rsidP="001B32E6">
      <w:pPr>
        <w:numPr>
          <w:ilvl w:val="0"/>
          <w:numId w:val="3"/>
        </w:numPr>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sz w:val="24"/>
        </w:rPr>
        <w:t>Warunki dodatkowe: wszelkie szczegółowo uzgodnione kwestie, np. warunki dotyczące trzymania zwierząt w lokalu.</w:t>
      </w:r>
    </w:p>
    <w:p w14:paraId="4C400528" w14:textId="77777777" w:rsidR="001B32E6" w:rsidRPr="001B32E6" w:rsidRDefault="001B32E6" w:rsidP="001B32E6">
      <w:pPr>
        <w:spacing w:after="300" w:line="240" w:lineRule="auto"/>
        <w:rPr>
          <w:rFonts w:ascii="Times New Roman" w:eastAsia="Times New Roman" w:hAnsi="Times New Roman" w:cs="Times New Roman"/>
          <w:sz w:val="24"/>
          <w:szCs w:val="24"/>
        </w:rPr>
      </w:pPr>
      <w:r>
        <w:rPr>
          <w:rFonts w:ascii="Times New Roman" w:hAnsi="Times New Roman"/>
          <w:sz w:val="24"/>
        </w:rPr>
        <w:t>Kontrakt może mieć formę dokumentu drukowanego lub elektronicznego, jeśli strona kontraktu wyrazi na to zgodę. Dobrą praktyką jest podpisanie kontraktu, ponieważ potwierdza to, że najemca akceptuje jego warunki.</w:t>
      </w:r>
    </w:p>
    <w:p w14:paraId="4F12B090" w14:textId="77777777" w:rsidR="001B32E6" w:rsidRPr="001B32E6" w:rsidRDefault="001B32E6" w:rsidP="001B32E6">
      <w:pPr>
        <w:spacing w:after="300" w:line="240" w:lineRule="auto"/>
        <w:rPr>
          <w:rFonts w:ascii="Times New Roman" w:eastAsia="Times New Roman" w:hAnsi="Times New Roman" w:cs="Times New Roman"/>
          <w:sz w:val="24"/>
          <w:szCs w:val="24"/>
        </w:rPr>
      </w:pPr>
      <w:r>
        <w:rPr>
          <w:rFonts w:ascii="Times New Roman" w:hAnsi="Times New Roman"/>
          <w:sz w:val="24"/>
        </w:rPr>
        <w:t>Modelowe przykłady oświadczeń na piśmie, które można stosować jako kontrakt na zajmowanie lokalu, są dostępne w </w:t>
      </w:r>
      <w:hyperlink r:id="rId5" w:history="1">
        <w:r>
          <w:rPr>
            <w:rFonts w:ascii="Times New Roman" w:hAnsi="Times New Roman"/>
            <w:b/>
            <w:color w:val="0360A6"/>
            <w:sz w:val="24"/>
            <w:u w:val="single"/>
          </w:rPr>
          <w:t>sekcji wskazówek i usług</w:t>
        </w:r>
      </w:hyperlink>
      <w:r>
        <w:rPr>
          <w:rFonts w:ascii="Times New Roman" w:hAnsi="Times New Roman"/>
          <w:sz w:val="24"/>
        </w:rPr>
        <w:t>.</w:t>
      </w:r>
    </w:p>
    <w:p w14:paraId="1B0C66C5" w14:textId="77777777" w:rsidR="001B32E6" w:rsidRPr="001B32E6" w:rsidRDefault="001B32E6" w:rsidP="001B32E6">
      <w:pPr>
        <w:spacing w:after="300" w:line="240" w:lineRule="auto"/>
        <w:rPr>
          <w:rFonts w:ascii="Times New Roman" w:eastAsia="Times New Roman" w:hAnsi="Times New Roman" w:cs="Times New Roman"/>
          <w:sz w:val="24"/>
          <w:szCs w:val="24"/>
        </w:rPr>
      </w:pPr>
      <w:r>
        <w:rPr>
          <w:rFonts w:ascii="Times New Roman" w:hAnsi="Times New Roman"/>
          <w:sz w:val="24"/>
        </w:rPr>
        <w:t>Ustawa Renting Homes Act wprowadza również inne ważne zmiany do przepisów mieszkaniowych, takie jak:</w:t>
      </w:r>
    </w:p>
    <w:p w14:paraId="45CF60F8" w14:textId="77777777" w:rsidR="001B32E6" w:rsidRPr="001B32E6" w:rsidRDefault="001B32E6" w:rsidP="001B32E6">
      <w:pPr>
        <w:numPr>
          <w:ilvl w:val="0"/>
          <w:numId w:val="4"/>
        </w:numPr>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sz w:val="24"/>
        </w:rPr>
        <w:lastRenderedPageBreak/>
        <w:t>Przystosowanie do zamieszkania przez ludzi: wynajmujący muszą zapewnić przystosowanie nieruchomości do zamieszkania przez ludzi (Fit For Human Habitation – FFHH). Obejmuje to na przykład przeprowadzanie inspekcji instalacji elektrycznych oraz zapewnienie działających alarmów przeciwpożarowych i czujników tlenku węgla. Ponadto najemcy nie płacą czynszu przez okres, w którym nieruchomość nie nadaje się do zamieszkania przez ludzi. Najpierw jednak najemca powinien zgłosić zastrzeżenia wynajmującemu i nadal płacić czynsz. W przypadku sporów ostatecznie to sąd decyduje, czy wynajmujący spełnił wymagania dotyczące przystosowania nieruchomości do zamieszkania przez ludzi, a najemca może być zobowiązany do zapłacenia należnego czynszu. Więcej informacji: </w:t>
      </w:r>
      <w:hyperlink r:id="rId6" w:history="1">
        <w:r>
          <w:rPr>
            <w:rFonts w:ascii="Times New Roman" w:hAnsi="Times New Roman"/>
            <w:b/>
            <w:color w:val="0360A6"/>
            <w:sz w:val="24"/>
            <w:u w:val="single"/>
          </w:rPr>
          <w:t>Przystosowanie lokali mieszkalnych do zamieszkania przez ludzi: wskazówki dla wynajmujących</w:t>
        </w:r>
      </w:hyperlink>
      <w:r>
        <w:rPr>
          <w:rFonts w:ascii="Times New Roman" w:hAnsi="Times New Roman"/>
          <w:sz w:val="24"/>
        </w:rPr>
        <w:t>.</w:t>
      </w:r>
    </w:p>
    <w:p w14:paraId="3FC7D5EC" w14:textId="77777777" w:rsidR="001B32E6" w:rsidRPr="001B32E6" w:rsidRDefault="001B32E6" w:rsidP="001B32E6">
      <w:pPr>
        <w:numPr>
          <w:ilvl w:val="0"/>
          <w:numId w:val="4"/>
        </w:numPr>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sz w:val="24"/>
        </w:rPr>
        <w:t>Zgodnie z nowymi przepisami osoby zamieszkujące nieruchomości w sektorze najmu prywatnego (PRS) są objęte większą ochroną:</w:t>
      </w:r>
    </w:p>
    <w:p w14:paraId="706691AD" w14:textId="77777777" w:rsidR="001B32E6" w:rsidRPr="001B32E6" w:rsidRDefault="001B32E6" w:rsidP="001B32E6">
      <w:pPr>
        <w:numPr>
          <w:ilvl w:val="1"/>
          <w:numId w:val="4"/>
        </w:numPr>
        <w:spacing w:before="100" w:beforeAutospacing="1" w:after="100" w:afterAutospacing="1" w:line="240" w:lineRule="auto"/>
        <w:ind w:left="1140"/>
        <w:rPr>
          <w:rFonts w:ascii="Times New Roman" w:eastAsia="Times New Roman" w:hAnsi="Times New Roman" w:cs="Times New Roman"/>
          <w:sz w:val="24"/>
          <w:szCs w:val="24"/>
        </w:rPr>
      </w:pPr>
      <w:r>
        <w:rPr>
          <w:rFonts w:ascii="Times New Roman" w:hAnsi="Times New Roman"/>
          <w:sz w:val="24"/>
        </w:rPr>
        <w:t>Aby wypowiedzieć kontrakt, wynajmujący musi dostarczyć powiadomienie z co najmniej 6-miesięcznym wyprzedzeniem (zgodnie z art. 173 ustawy), o ile najemca nie naruszył warunków umowy (tzw. wypowiedzenie „bez winy najemcy) – wcześniej był to okres 2-miesięczny. </w:t>
      </w:r>
    </w:p>
    <w:p w14:paraId="29EF9CF9" w14:textId="77777777" w:rsidR="001B32E6" w:rsidRPr="001B32E6" w:rsidRDefault="001B32E6" w:rsidP="001B32E6">
      <w:pPr>
        <w:numPr>
          <w:ilvl w:val="1"/>
          <w:numId w:val="4"/>
        </w:numPr>
        <w:spacing w:before="100" w:beforeAutospacing="1" w:after="100" w:afterAutospacing="1" w:line="240" w:lineRule="auto"/>
        <w:ind w:left="1140"/>
        <w:rPr>
          <w:rFonts w:ascii="Times New Roman" w:eastAsia="Times New Roman" w:hAnsi="Times New Roman" w:cs="Times New Roman"/>
          <w:sz w:val="24"/>
          <w:szCs w:val="24"/>
        </w:rPr>
      </w:pPr>
      <w:r>
        <w:rPr>
          <w:rFonts w:ascii="Times New Roman" w:hAnsi="Times New Roman"/>
          <w:sz w:val="24"/>
        </w:rPr>
        <w:t>Wypowiedzeń bez winy najemcy </w:t>
      </w:r>
      <w:r w:rsidRPr="001B32E6">
        <w:rPr>
          <w:rFonts w:ascii="Times New Roman" w:hAnsi="Times New Roman"/>
          <w:b/>
          <w:bCs/>
          <w:sz w:val="24"/>
          <w:szCs w:val="24"/>
        </w:rPr>
        <w:t>nie można</w:t>
      </w:r>
      <w:r>
        <w:rPr>
          <w:rFonts w:ascii="Times New Roman" w:hAnsi="Times New Roman"/>
          <w:sz w:val="24"/>
        </w:rPr>
        <w:t> stosować przed upływem sześciu miesięcy od daty wprowadzenia się najemcy („data zajęcia lokalu” w kontrakcie).</w:t>
      </w:r>
    </w:p>
    <w:p w14:paraId="6865D180" w14:textId="77777777" w:rsidR="001B32E6" w:rsidRPr="001B32E6" w:rsidRDefault="001B32E6" w:rsidP="001B32E6">
      <w:pPr>
        <w:numPr>
          <w:ilvl w:val="1"/>
          <w:numId w:val="4"/>
        </w:numPr>
        <w:spacing w:before="100" w:beforeAutospacing="1" w:after="100" w:afterAutospacing="1" w:line="240" w:lineRule="auto"/>
        <w:ind w:left="1140"/>
        <w:rPr>
          <w:rFonts w:ascii="Times New Roman" w:eastAsia="Times New Roman" w:hAnsi="Times New Roman" w:cs="Times New Roman"/>
          <w:sz w:val="24"/>
          <w:szCs w:val="24"/>
        </w:rPr>
      </w:pPr>
      <w:r>
        <w:rPr>
          <w:rFonts w:ascii="Times New Roman" w:hAnsi="Times New Roman"/>
          <w:sz w:val="24"/>
        </w:rPr>
        <w:t>Jeśli wynajmujący nie podejmie działań na podstawie wypowiedzenia bez winy najemcy (czyli nie wykorzysta go do objęcia nieruchomości w posiadanie), nie będzie mógł wydać kolejnego wypowiedzenia przez sześć miesięcy.</w:t>
      </w:r>
    </w:p>
    <w:p w14:paraId="2522FB8F" w14:textId="77777777" w:rsidR="001B32E6" w:rsidRPr="001B32E6" w:rsidRDefault="001B32E6" w:rsidP="001B32E6">
      <w:pPr>
        <w:numPr>
          <w:ilvl w:val="1"/>
          <w:numId w:val="4"/>
        </w:numPr>
        <w:spacing w:before="100" w:beforeAutospacing="1" w:after="100" w:afterAutospacing="1" w:line="240" w:lineRule="auto"/>
        <w:ind w:left="1140"/>
        <w:rPr>
          <w:rFonts w:ascii="Times New Roman" w:eastAsia="Times New Roman" w:hAnsi="Times New Roman" w:cs="Times New Roman"/>
          <w:sz w:val="24"/>
          <w:szCs w:val="24"/>
        </w:rPr>
      </w:pPr>
      <w:r>
        <w:rPr>
          <w:rFonts w:ascii="Times New Roman" w:hAnsi="Times New Roman"/>
          <w:sz w:val="24"/>
        </w:rPr>
        <w:t>W przypadku kontraktu na czas określony (ze zdefiniowanym okresem obowiązywania) wynajmujący zasadniczo nie może wypowiedzieć tej umowy. Jeśli nie opuścisz nieruchomości, kontrakt na czas określony po jego zakończeniu zwykle staje się „okresowym kontraktem standardowym”, a wynajmujący będzie go mógł zakończyć na podstawie 6-miesięcznego wypowiedzenia bez winy najemcy.</w:t>
      </w:r>
    </w:p>
    <w:p w14:paraId="4A19718B" w14:textId="77777777" w:rsidR="001B32E6" w:rsidRPr="001B32E6" w:rsidRDefault="001B32E6" w:rsidP="001B32E6">
      <w:pPr>
        <w:numPr>
          <w:ilvl w:val="1"/>
          <w:numId w:val="4"/>
        </w:numPr>
        <w:spacing w:before="100" w:beforeAutospacing="1" w:after="100" w:afterAutospacing="1" w:line="240" w:lineRule="auto"/>
        <w:ind w:left="1140"/>
        <w:rPr>
          <w:rFonts w:ascii="Times New Roman" w:eastAsia="Times New Roman" w:hAnsi="Times New Roman" w:cs="Times New Roman"/>
          <w:sz w:val="24"/>
          <w:szCs w:val="24"/>
        </w:rPr>
      </w:pPr>
      <w:r>
        <w:rPr>
          <w:rFonts w:ascii="Times New Roman" w:hAnsi="Times New Roman"/>
          <w:sz w:val="24"/>
        </w:rPr>
        <w:t>W przypadku standardowego kontraktu na czas określony krótszy niż 2 lata wynajmujący nie może włączyć do niego klauzuli zerwania umowy (w celu odzyskania posiadania). Jeśli czas określony wynosi 2 lata lub więcej, wynajmujący nie może go wypowiedzieć wcześniej niż w 18. miesiącu kontraktu na czas określony i musi zastosować co najmniej 6-miesięczne wypowiedzenie.</w:t>
      </w:r>
    </w:p>
    <w:p w14:paraId="4D25BE1B" w14:textId="77777777" w:rsidR="001B32E6" w:rsidRPr="001B32E6" w:rsidRDefault="001B32E6" w:rsidP="001B32E6">
      <w:pPr>
        <w:numPr>
          <w:ilvl w:val="0"/>
          <w:numId w:val="4"/>
        </w:numPr>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sz w:val="24"/>
        </w:rPr>
        <w:t>Ochrona przed „eksmisją odwetową”: wynajmujący nie może zastosować wypowiedzenia bez winy najemcy tylko dlatego, że skarżysz się na nieodpowiedni stan nieruchomości. W takiej sytuacji sąd musi uznać, że wynajmujący nie zastosował wypowiedzenia w celu uniknięcia konieczności przeprowadzenia napraw.</w:t>
      </w:r>
    </w:p>
    <w:p w14:paraId="3BFAFF21" w14:textId="77777777" w:rsidR="001B32E6" w:rsidRPr="001B32E6" w:rsidRDefault="001B32E6" w:rsidP="001B32E6">
      <w:pPr>
        <w:numPr>
          <w:ilvl w:val="0"/>
          <w:numId w:val="4"/>
        </w:numPr>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sz w:val="24"/>
        </w:rPr>
        <w:t>Wspólne kontrakty: strony kontraktu można dodawać do kontraktu na zajmowanie lokalu i usuwać je bez konieczności zakończenia bieżącego kontraktu. Ułatwi to zarządzanie wspólnymi kontraktami i pomoże osobom doświadczającym przemocy domowej dzięki możliwości eksmisji osób dopuszczających się przemocy.</w:t>
      </w:r>
    </w:p>
    <w:p w14:paraId="271A6F5B" w14:textId="77777777" w:rsidR="001B32E6" w:rsidRPr="001B32E6" w:rsidRDefault="001B32E6" w:rsidP="001B32E6">
      <w:pPr>
        <w:numPr>
          <w:ilvl w:val="0"/>
          <w:numId w:val="4"/>
        </w:numPr>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sz w:val="24"/>
        </w:rPr>
        <w:t>Rozszerzone prawo sukcesji: umożliwia zarówno najemcy „priorytetowemu”, jak i „rezerwowemu” („sukcesorowi”) kontynuowanie kontraktu na zajmowanie nieruchomości. Zapisy te pozwalają na dwie sukcesje w ramach kontraktu, na przykład w przypadku żony lub męża, a następnie innego członka rodziny. Ponadto nowe przepisy ustanawiają prawo do sukcesji dla opiekunów.</w:t>
      </w:r>
    </w:p>
    <w:p w14:paraId="3C2EABC8" w14:textId="77777777" w:rsidR="001B32E6" w:rsidRPr="001B32E6" w:rsidRDefault="001B32E6" w:rsidP="001B32E6">
      <w:pPr>
        <w:numPr>
          <w:ilvl w:val="0"/>
          <w:numId w:val="4"/>
        </w:numPr>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sz w:val="24"/>
        </w:rPr>
        <w:t>Procedura opuszczenia lokalu: wynajmujący mogą ponownie objąć w posiadanie opuszczoną nieruchomość bez nakazu sądu, po doręczeniu ostrzeżenia z 4-tygodniowym wyprzedzeniem i przeprowadzeniu dochodzenia, aby upewnić się, że nieruchomość została opuszczona.</w:t>
      </w:r>
    </w:p>
    <w:p w14:paraId="6580FA8F" w14:textId="77777777" w:rsidR="001B32E6" w:rsidRPr="001B32E6" w:rsidRDefault="001B32E6" w:rsidP="001B32E6">
      <w:pPr>
        <w:numPr>
          <w:ilvl w:val="0"/>
          <w:numId w:val="4"/>
        </w:numPr>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sz w:val="24"/>
        </w:rPr>
        <w:lastRenderedPageBreak/>
        <w:t>Zakwaterowanie socjalne: jeśli korzystasz z zakwaterowania socjalnego przez ponad 6 miesięcy, masz prawo do „standardowego kontraktu na zajmowanie lokalu socjalnego”. Standardowy kontrakt na zajmowanie lokalu socjalnego jest podobny do standardowego kontraktu. Wynajmujący może jednak włączyć do kontraktu warunki dotyczące:</w:t>
      </w:r>
    </w:p>
    <w:p w14:paraId="2019372A" w14:textId="77777777" w:rsidR="001B32E6" w:rsidRPr="001B32E6" w:rsidRDefault="001B32E6" w:rsidP="001B32E6">
      <w:pPr>
        <w:numPr>
          <w:ilvl w:val="1"/>
          <w:numId w:val="4"/>
        </w:numPr>
        <w:spacing w:before="100" w:beforeAutospacing="1" w:after="100" w:afterAutospacing="1" w:line="240" w:lineRule="auto"/>
        <w:ind w:left="1140"/>
        <w:rPr>
          <w:rFonts w:ascii="Times New Roman" w:eastAsia="Times New Roman" w:hAnsi="Times New Roman" w:cs="Times New Roman"/>
          <w:sz w:val="24"/>
          <w:szCs w:val="24"/>
        </w:rPr>
      </w:pPr>
      <w:r>
        <w:rPr>
          <w:rFonts w:ascii="Times New Roman" w:hAnsi="Times New Roman"/>
          <w:sz w:val="24"/>
        </w:rPr>
        <w:t>możliwości zmiany miejsca zamieszkania strony kontraktu w ramach tego samego budynku;</w:t>
      </w:r>
    </w:p>
    <w:p w14:paraId="0265F95D" w14:textId="77777777" w:rsidR="001B32E6" w:rsidRPr="001B32E6" w:rsidRDefault="001B32E6" w:rsidP="001B32E6">
      <w:pPr>
        <w:numPr>
          <w:ilvl w:val="1"/>
          <w:numId w:val="4"/>
        </w:numPr>
        <w:spacing w:before="100" w:beforeAutospacing="1" w:after="100" w:afterAutospacing="1" w:line="240" w:lineRule="auto"/>
        <w:ind w:left="1140"/>
        <w:rPr>
          <w:rFonts w:ascii="Times New Roman" w:eastAsia="Times New Roman" w:hAnsi="Times New Roman" w:cs="Times New Roman"/>
          <w:sz w:val="24"/>
          <w:szCs w:val="24"/>
        </w:rPr>
      </w:pPr>
      <w:r>
        <w:rPr>
          <w:rFonts w:ascii="Times New Roman" w:hAnsi="Times New Roman"/>
          <w:sz w:val="24"/>
        </w:rPr>
        <w:t>możliwości tymczasowego wykluczenia strony kontraktu z zamieszkania w lokalu na maksymalnie 48 godzin (maksymalnie trzy razy w ciągu sześciu miesięcy).</w:t>
      </w:r>
    </w:p>
    <w:p w14:paraId="1D1C139E" w14:textId="77777777" w:rsidR="001B32E6" w:rsidRPr="001B32E6" w:rsidRDefault="001B32E6" w:rsidP="001B32E6">
      <w:pPr>
        <w:spacing w:after="300" w:line="240" w:lineRule="auto"/>
        <w:rPr>
          <w:rFonts w:ascii="Times New Roman" w:eastAsia="Times New Roman" w:hAnsi="Times New Roman" w:cs="Times New Roman"/>
          <w:sz w:val="24"/>
          <w:szCs w:val="24"/>
        </w:rPr>
      </w:pPr>
      <w:r>
        <w:rPr>
          <w:rFonts w:ascii="Times New Roman" w:hAnsi="Times New Roman"/>
          <w:sz w:val="24"/>
        </w:rPr>
        <w:t>Jeśli wynajmujesz nieruchomość od instytucji społecznej (np. od władz lokalnych lub RSL), czynsz nadal będzie wzrastał zgodnie z Zasadami najmu socjalnego określonymi przez rząd Walii.</w:t>
      </w:r>
    </w:p>
    <w:p w14:paraId="59295C08" w14:textId="77777777" w:rsidR="001B32E6" w:rsidRPr="001B32E6" w:rsidRDefault="001B32E6" w:rsidP="001B32E6">
      <w:pPr>
        <w:spacing w:line="240" w:lineRule="auto"/>
        <w:rPr>
          <w:rFonts w:ascii="Times New Roman" w:eastAsia="Times New Roman" w:hAnsi="Times New Roman" w:cs="Times New Roman"/>
          <w:sz w:val="24"/>
          <w:szCs w:val="24"/>
        </w:rPr>
      </w:pPr>
      <w:r>
        <w:rPr>
          <w:rFonts w:ascii="Times New Roman" w:hAnsi="Times New Roman"/>
          <w:sz w:val="24"/>
        </w:rPr>
        <w:t xml:space="preserve">Warto również przeczytać dokument </w:t>
      </w:r>
      <w:hyperlink r:id="rId7" w:anchor="section-86369" w:history="1">
        <w:r>
          <w:rPr>
            <w:rFonts w:ascii="Times New Roman" w:hAnsi="Times New Roman"/>
            <w:b/>
            <w:color w:val="0360A6"/>
            <w:sz w:val="24"/>
            <w:u w:val="single"/>
          </w:rPr>
          <w:t>Wynajmowanie lokali mieszkalnych – informacje dla wynajmujących</w:t>
        </w:r>
      </w:hyperlink>
      <w:r>
        <w:rPr>
          <w:rFonts w:ascii="Times New Roman" w:hAnsi="Times New Roman"/>
          <w:sz w:val="24"/>
        </w:rPr>
        <w:t>.</w:t>
      </w:r>
    </w:p>
    <w:sectPr w:rsidR="001B32E6" w:rsidRPr="001B32E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1722FF"/>
    <w:multiLevelType w:val="multilevel"/>
    <w:tmpl w:val="75BE58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1720E48"/>
    <w:multiLevelType w:val="multilevel"/>
    <w:tmpl w:val="3B885A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94E2DCF"/>
    <w:multiLevelType w:val="multilevel"/>
    <w:tmpl w:val="1DB892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7A95D59"/>
    <w:multiLevelType w:val="multilevel"/>
    <w:tmpl w:val="EC94A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32E6"/>
    <w:rsid w:val="001B32E6"/>
    <w:rsid w:val="007461E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DBEB33"/>
  <w15:chartTrackingRefBased/>
  <w15:docId w15:val="{6028B5B4-71D5-4E64-9E82-CDA271F0BA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1B32E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2E6"/>
    <w:rPr>
      <w:rFonts w:ascii="Times New Roman" w:eastAsia="Times New Roman" w:hAnsi="Times New Roman" w:cs="Times New Roman"/>
      <w:b/>
      <w:bCs/>
      <w:kern w:val="36"/>
      <w:sz w:val="48"/>
      <w:szCs w:val="48"/>
      <w:lang w:val="pl-PL" w:eastAsia="en-GB"/>
    </w:rPr>
  </w:style>
  <w:style w:type="paragraph" w:styleId="NormalWeb">
    <w:name w:val="Normal (Web)"/>
    <w:basedOn w:val="Normal"/>
    <w:uiPriority w:val="99"/>
    <w:semiHidden/>
    <w:unhideWhenUsed/>
    <w:rsid w:val="001B32E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1B32E6"/>
    <w:rPr>
      <w:color w:val="0000FF"/>
      <w:u w:val="single"/>
    </w:rPr>
  </w:style>
  <w:style w:type="character" w:customStyle="1" w:styleId="comma">
    <w:name w:val="comma"/>
    <w:basedOn w:val="DefaultParagraphFont"/>
    <w:rsid w:val="001B32E6"/>
  </w:style>
  <w:style w:type="character" w:styleId="Strong">
    <w:name w:val="Strong"/>
    <w:basedOn w:val="DefaultParagraphFont"/>
    <w:uiPriority w:val="22"/>
    <w:qFormat/>
    <w:rsid w:val="001B32E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37360166">
      <w:bodyDiv w:val="1"/>
      <w:marLeft w:val="0"/>
      <w:marRight w:val="0"/>
      <w:marTop w:val="0"/>
      <w:marBottom w:val="0"/>
      <w:divBdr>
        <w:top w:val="none" w:sz="0" w:space="0" w:color="auto"/>
        <w:left w:val="none" w:sz="0" w:space="0" w:color="auto"/>
        <w:bottom w:val="none" w:sz="0" w:space="0" w:color="auto"/>
        <w:right w:val="none" w:sz="0" w:space="0" w:color="auto"/>
      </w:divBdr>
      <w:divsChild>
        <w:div w:id="1456943697">
          <w:marLeft w:val="0"/>
          <w:marRight w:val="0"/>
          <w:marTop w:val="0"/>
          <w:marBottom w:val="600"/>
          <w:divBdr>
            <w:top w:val="none" w:sz="0" w:space="0" w:color="auto"/>
            <w:left w:val="none" w:sz="0" w:space="0" w:color="auto"/>
            <w:bottom w:val="none" w:sz="0" w:space="0" w:color="auto"/>
            <w:right w:val="none" w:sz="0" w:space="0" w:color="auto"/>
          </w:divBdr>
          <w:divsChild>
            <w:div w:id="252980012">
              <w:marLeft w:val="0"/>
              <w:marRight w:val="0"/>
              <w:marTop w:val="0"/>
              <w:marBottom w:val="0"/>
              <w:divBdr>
                <w:top w:val="none" w:sz="0" w:space="0" w:color="auto"/>
                <w:left w:val="none" w:sz="0" w:space="0" w:color="auto"/>
                <w:bottom w:val="none" w:sz="0" w:space="0" w:color="auto"/>
                <w:right w:val="none" w:sz="0" w:space="0" w:color="auto"/>
              </w:divBdr>
              <w:divsChild>
                <w:div w:id="1032656277">
                  <w:marLeft w:val="-300"/>
                  <w:marRight w:val="-300"/>
                  <w:marTop w:val="0"/>
                  <w:marBottom w:val="0"/>
                  <w:divBdr>
                    <w:top w:val="none" w:sz="0" w:space="0" w:color="auto"/>
                    <w:left w:val="none" w:sz="0" w:space="0" w:color="auto"/>
                    <w:bottom w:val="none" w:sz="0" w:space="0" w:color="auto"/>
                    <w:right w:val="none" w:sz="0" w:space="0" w:color="auto"/>
                  </w:divBdr>
                  <w:divsChild>
                    <w:div w:id="1523208791">
                      <w:marLeft w:val="0"/>
                      <w:marRight w:val="0"/>
                      <w:marTop w:val="0"/>
                      <w:marBottom w:val="0"/>
                      <w:divBdr>
                        <w:top w:val="none" w:sz="0" w:space="0" w:color="auto"/>
                        <w:left w:val="none" w:sz="0" w:space="0" w:color="auto"/>
                        <w:bottom w:val="none" w:sz="0" w:space="0" w:color="auto"/>
                        <w:right w:val="none" w:sz="0" w:space="0" w:color="auto"/>
                      </w:divBdr>
                      <w:divsChild>
                        <w:div w:id="389502838">
                          <w:marLeft w:val="0"/>
                          <w:marRight w:val="0"/>
                          <w:marTop w:val="0"/>
                          <w:marBottom w:val="0"/>
                          <w:divBdr>
                            <w:top w:val="none" w:sz="0" w:space="0" w:color="auto"/>
                            <w:left w:val="none" w:sz="0" w:space="0" w:color="auto"/>
                            <w:bottom w:val="none" w:sz="0" w:space="0" w:color="auto"/>
                            <w:right w:val="none" w:sz="0" w:space="0" w:color="auto"/>
                          </w:divBdr>
                          <w:divsChild>
                            <w:div w:id="1540511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074592">
                      <w:marLeft w:val="0"/>
                      <w:marRight w:val="0"/>
                      <w:marTop w:val="0"/>
                      <w:marBottom w:val="0"/>
                      <w:divBdr>
                        <w:top w:val="none" w:sz="0" w:space="0" w:color="auto"/>
                        <w:left w:val="none" w:sz="0" w:space="0" w:color="auto"/>
                        <w:bottom w:val="none" w:sz="0" w:space="0" w:color="auto"/>
                        <w:right w:val="none" w:sz="0" w:space="0" w:color="auto"/>
                      </w:divBdr>
                      <w:divsChild>
                        <w:div w:id="376513274">
                          <w:marLeft w:val="0"/>
                          <w:marRight w:val="0"/>
                          <w:marTop w:val="0"/>
                          <w:marBottom w:val="450"/>
                          <w:divBdr>
                            <w:top w:val="none" w:sz="0" w:space="0" w:color="auto"/>
                            <w:left w:val="none" w:sz="0" w:space="0" w:color="auto"/>
                            <w:bottom w:val="none" w:sz="0" w:space="0" w:color="auto"/>
                            <w:right w:val="none" w:sz="0" w:space="0" w:color="auto"/>
                          </w:divBdr>
                          <w:divsChild>
                            <w:div w:id="1719430692">
                              <w:marLeft w:val="0"/>
                              <w:marRight w:val="0"/>
                              <w:marTop w:val="0"/>
                              <w:marBottom w:val="150"/>
                              <w:divBdr>
                                <w:top w:val="none" w:sz="0" w:space="0" w:color="auto"/>
                                <w:left w:val="none" w:sz="0" w:space="0" w:color="auto"/>
                                <w:bottom w:val="none" w:sz="0" w:space="0" w:color="auto"/>
                                <w:right w:val="none" w:sz="0" w:space="0" w:color="auto"/>
                              </w:divBdr>
                              <w:divsChild>
                                <w:div w:id="1691444068">
                                  <w:marLeft w:val="0"/>
                                  <w:marRight w:val="0"/>
                                  <w:marTop w:val="0"/>
                                  <w:marBottom w:val="0"/>
                                  <w:divBdr>
                                    <w:top w:val="none" w:sz="0" w:space="0" w:color="auto"/>
                                    <w:left w:val="none" w:sz="0" w:space="0" w:color="auto"/>
                                    <w:bottom w:val="none" w:sz="0" w:space="0" w:color="auto"/>
                                    <w:right w:val="none" w:sz="0" w:space="0" w:color="auto"/>
                                  </w:divBdr>
                                </w:div>
                                <w:div w:id="888537658">
                                  <w:marLeft w:val="0"/>
                                  <w:marRight w:val="0"/>
                                  <w:marTop w:val="0"/>
                                  <w:marBottom w:val="0"/>
                                  <w:divBdr>
                                    <w:top w:val="none" w:sz="0" w:space="0" w:color="auto"/>
                                    <w:left w:val="none" w:sz="0" w:space="0" w:color="auto"/>
                                    <w:bottom w:val="none" w:sz="0" w:space="0" w:color="auto"/>
                                    <w:right w:val="none" w:sz="0" w:space="0" w:color="auto"/>
                                  </w:divBdr>
                                </w:div>
                              </w:divsChild>
                            </w:div>
                            <w:div w:id="2028477998">
                              <w:marLeft w:val="0"/>
                              <w:marRight w:val="0"/>
                              <w:marTop w:val="0"/>
                              <w:marBottom w:val="150"/>
                              <w:divBdr>
                                <w:top w:val="none" w:sz="0" w:space="0" w:color="auto"/>
                                <w:left w:val="none" w:sz="0" w:space="0" w:color="auto"/>
                                <w:bottom w:val="none" w:sz="0" w:space="0" w:color="auto"/>
                                <w:right w:val="none" w:sz="0" w:space="0" w:color="auto"/>
                              </w:divBdr>
                              <w:divsChild>
                                <w:div w:id="180244068">
                                  <w:marLeft w:val="0"/>
                                  <w:marRight w:val="0"/>
                                  <w:marTop w:val="0"/>
                                  <w:marBottom w:val="0"/>
                                  <w:divBdr>
                                    <w:top w:val="none" w:sz="0" w:space="0" w:color="auto"/>
                                    <w:left w:val="none" w:sz="0" w:space="0" w:color="auto"/>
                                    <w:bottom w:val="none" w:sz="0" w:space="0" w:color="auto"/>
                                    <w:right w:val="none" w:sz="0" w:space="0" w:color="auto"/>
                                  </w:divBdr>
                                </w:div>
                                <w:div w:id="1878202529">
                                  <w:marLeft w:val="0"/>
                                  <w:marRight w:val="0"/>
                                  <w:marTop w:val="0"/>
                                  <w:marBottom w:val="0"/>
                                  <w:divBdr>
                                    <w:top w:val="none" w:sz="0" w:space="0" w:color="auto"/>
                                    <w:left w:val="none" w:sz="0" w:space="0" w:color="auto"/>
                                    <w:bottom w:val="none" w:sz="0" w:space="0" w:color="auto"/>
                                    <w:right w:val="none" w:sz="0" w:space="0" w:color="auto"/>
                                  </w:divBdr>
                                </w:div>
                              </w:divsChild>
                            </w:div>
                            <w:div w:id="1755083694">
                              <w:marLeft w:val="0"/>
                              <w:marRight w:val="0"/>
                              <w:marTop w:val="0"/>
                              <w:marBottom w:val="150"/>
                              <w:divBdr>
                                <w:top w:val="none" w:sz="0" w:space="0" w:color="auto"/>
                                <w:left w:val="none" w:sz="0" w:space="0" w:color="auto"/>
                                <w:bottom w:val="none" w:sz="0" w:space="0" w:color="auto"/>
                                <w:right w:val="none" w:sz="0" w:space="0" w:color="auto"/>
                              </w:divBdr>
                              <w:divsChild>
                                <w:div w:id="1769934104">
                                  <w:marLeft w:val="0"/>
                                  <w:marRight w:val="0"/>
                                  <w:marTop w:val="0"/>
                                  <w:marBottom w:val="0"/>
                                  <w:divBdr>
                                    <w:top w:val="none" w:sz="0" w:space="0" w:color="auto"/>
                                    <w:left w:val="none" w:sz="0" w:space="0" w:color="auto"/>
                                    <w:bottom w:val="none" w:sz="0" w:space="0" w:color="auto"/>
                                    <w:right w:val="none" w:sz="0" w:space="0" w:color="auto"/>
                                  </w:divBdr>
                                </w:div>
                                <w:div w:id="179983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97295830">
          <w:marLeft w:val="0"/>
          <w:marRight w:val="0"/>
          <w:marTop w:val="0"/>
          <w:marBottom w:val="0"/>
          <w:divBdr>
            <w:top w:val="none" w:sz="0" w:space="0" w:color="auto"/>
            <w:left w:val="none" w:sz="0" w:space="0" w:color="auto"/>
            <w:bottom w:val="none" w:sz="0" w:space="0" w:color="auto"/>
            <w:right w:val="none" w:sz="0" w:space="0" w:color="auto"/>
          </w:divBdr>
          <w:divsChild>
            <w:div w:id="653918649">
              <w:marLeft w:val="-300"/>
              <w:marRight w:val="-300"/>
              <w:marTop w:val="0"/>
              <w:marBottom w:val="0"/>
              <w:divBdr>
                <w:top w:val="none" w:sz="0" w:space="0" w:color="auto"/>
                <w:left w:val="none" w:sz="0" w:space="0" w:color="auto"/>
                <w:bottom w:val="none" w:sz="0" w:space="0" w:color="auto"/>
                <w:right w:val="none" w:sz="0" w:space="0" w:color="auto"/>
              </w:divBdr>
              <w:divsChild>
                <w:div w:id="517499936">
                  <w:marLeft w:val="0"/>
                  <w:marRight w:val="0"/>
                  <w:marTop w:val="0"/>
                  <w:marBottom w:val="0"/>
                  <w:divBdr>
                    <w:top w:val="none" w:sz="0" w:space="0" w:color="auto"/>
                    <w:left w:val="none" w:sz="0" w:space="0" w:color="auto"/>
                    <w:bottom w:val="none" w:sz="0" w:space="0" w:color="auto"/>
                    <w:right w:val="none" w:sz="0" w:space="0" w:color="auto"/>
                  </w:divBdr>
                  <w:divsChild>
                    <w:div w:id="220335736">
                      <w:marLeft w:val="0"/>
                      <w:marRight w:val="0"/>
                      <w:marTop w:val="0"/>
                      <w:marBottom w:val="0"/>
                      <w:divBdr>
                        <w:top w:val="none" w:sz="0" w:space="0" w:color="auto"/>
                        <w:left w:val="none" w:sz="0" w:space="0" w:color="auto"/>
                        <w:bottom w:val="none" w:sz="0" w:space="0" w:color="auto"/>
                        <w:right w:val="none" w:sz="0" w:space="0" w:color="auto"/>
                      </w:divBdr>
                      <w:divsChild>
                        <w:div w:id="1439329421">
                          <w:marLeft w:val="0"/>
                          <w:marRight w:val="0"/>
                          <w:marTop w:val="0"/>
                          <w:marBottom w:val="0"/>
                          <w:divBdr>
                            <w:top w:val="none" w:sz="0" w:space="0" w:color="auto"/>
                            <w:left w:val="none" w:sz="0" w:space="0" w:color="auto"/>
                            <w:bottom w:val="none" w:sz="0" w:space="0" w:color="auto"/>
                            <w:right w:val="none" w:sz="0" w:space="0" w:color="auto"/>
                          </w:divBdr>
                          <w:divsChild>
                            <w:div w:id="76171024">
                              <w:marLeft w:val="0"/>
                              <w:marRight w:val="0"/>
                              <w:marTop w:val="0"/>
                              <w:marBottom w:val="0"/>
                              <w:divBdr>
                                <w:top w:val="none" w:sz="0" w:space="0" w:color="auto"/>
                                <w:left w:val="none" w:sz="0" w:space="0" w:color="auto"/>
                                <w:bottom w:val="none" w:sz="0" w:space="0" w:color="auto"/>
                                <w:right w:val="none" w:sz="0" w:space="0" w:color="auto"/>
                              </w:divBdr>
                              <w:divsChild>
                                <w:div w:id="1932816095">
                                  <w:marLeft w:val="0"/>
                                  <w:marRight w:val="0"/>
                                  <w:marTop w:val="0"/>
                                  <w:marBottom w:val="600"/>
                                  <w:divBdr>
                                    <w:top w:val="none" w:sz="0" w:space="0" w:color="auto"/>
                                    <w:left w:val="none" w:sz="0" w:space="0" w:color="auto"/>
                                    <w:bottom w:val="none" w:sz="0" w:space="0" w:color="auto"/>
                                    <w:right w:val="none" w:sz="0" w:space="0" w:color="auto"/>
                                  </w:divBdr>
                                  <w:divsChild>
                                    <w:div w:id="1312101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gov.wales/landlords-housing-law-changing-renting-hom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gov.wales/fitness-homes-human-habitation-guidance-landlords-html" TargetMode="External"/><Relationship Id="rId5" Type="http://schemas.openxmlformats.org/officeDocument/2006/relationships/hyperlink" Target="https://gov.wales/renting-homes-housing-law-changing"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Cher" typeface="Plantagenet Cherokee"/>
        <a:font script="Yiii" typeface="Microsoft Yi Baiti"/>
        <a:font script="Thaa" typeface="MV Boli"/>
        <a:font script="Syrc" typeface="Estrangelo Edessa"/>
        <a:font script="Mong" typeface="Mongolian Baiti"/>
        <a:font script="Viet" typeface="Times New Roman"/>
        <a:font script="Uigh" typeface="Microsoft Uighur"/>
        <a:font script="Bugi" typeface="Leelawadee UI"/>
        <a:font script="Bopo" typeface="Microsoft JhengHei"/>
        <a:font script="Lisu" typeface="Segoe UI"/>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Cher" typeface="Plantagenet Cherokee"/>
        <a:font script="Yiii" typeface="Microsoft Yi Baiti"/>
        <a:font script="Thaa" typeface="MV Boli"/>
        <a:font script="Syrc" typeface="Estrangelo Edessa"/>
        <a:font script="Mong" typeface="Mongolian Baiti"/>
        <a:font script="Viet" typeface="Arial"/>
        <a:font script="Uigh" typeface="Microsoft Uighur"/>
        <a:font script="Bugi" typeface="Leelawadee UI"/>
        <a:font script="Bopo" typeface="Microsoft JhengHei"/>
        <a:font script="Lisu" typeface="Segoe UI"/>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1058</Words>
  <Characters>6031</Characters>
  <Application>Microsoft Office Word</Application>
  <DocSecurity>0</DocSecurity>
  <Lines>50</Lines>
  <Paragraphs>14</Paragraphs>
  <ScaleCrop>false</ScaleCrop>
  <Company/>
  <LinksUpToDate>false</LinksUpToDate>
  <CharactersWithSpaces>7075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Sean Maloney</dc:creator>
  <cp:keywords/>
  <dc:description/>
  <cp:lastModifiedBy>Carlos Torres</cp:lastModifiedBy>
  <cp:revision>3</cp:revision>
  <dcterms:created xsi:type="dcterms:W3CDTF">2022-03-23T15:57:00Z</dcterms:created>
  <dcterms:modified xsi:type="dcterms:W3CDTF">2022-03-31T01:42:00Z</dcterms:modified>
</cp:coreProperties>
</file>